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3235B" w14:textId="2CF92B8A" w:rsidR="000F4FDF" w:rsidRPr="00636E1B" w:rsidRDefault="009B4E42" w:rsidP="00636E1B">
      <w:pPr>
        <w:pStyle w:val="Heading1"/>
        <w:spacing w:after="240"/>
        <w:rPr>
          <w:b/>
          <w:bCs/>
        </w:rPr>
      </w:pPr>
      <w:r w:rsidRPr="00E7596D">
        <w:rPr>
          <w:b/>
          <w:bCs/>
        </w:rPr>
        <w:t>Specific guidelines on project</w:t>
      </w:r>
      <w:r w:rsidR="006134A9" w:rsidRPr="00E7596D">
        <w:rPr>
          <w:b/>
          <w:bCs/>
        </w:rPr>
        <w:t>s</w:t>
      </w:r>
      <w:r w:rsidRPr="00E7596D">
        <w:rPr>
          <w:b/>
          <w:bCs/>
        </w:rPr>
        <w:t xml:space="preserve"> implementation during epidemic risk</w:t>
      </w:r>
      <w:r w:rsidRPr="00636E1B">
        <w:rPr>
          <w:b/>
          <w:bCs/>
        </w:rPr>
        <w:t xml:space="preserve"> </w:t>
      </w:r>
      <w:r w:rsidR="004F322A" w:rsidRPr="00636E1B">
        <w:rPr>
          <w:b/>
          <w:bCs/>
        </w:rPr>
        <w:t>caused by COVID-19</w:t>
      </w:r>
    </w:p>
    <w:p w14:paraId="1B2CB64F" w14:textId="77777777" w:rsidR="00CC6EDC" w:rsidRPr="00DD1562" w:rsidRDefault="00CC6EDC" w:rsidP="00DD1562">
      <w:pPr>
        <w:pStyle w:val="Heading2"/>
        <w:numPr>
          <w:ilvl w:val="0"/>
          <w:numId w:val="40"/>
        </w:numPr>
        <w:rPr>
          <w:rStyle w:val="SBEMPHASISWORD"/>
          <w:rFonts w:ascii="Calibri" w:hAnsi="Calibri"/>
          <w:b w:val="0"/>
          <w:color w:val="auto"/>
          <w:sz w:val="26"/>
        </w:rPr>
      </w:pPr>
      <w:r w:rsidRPr="00DD1562">
        <w:rPr>
          <w:rStyle w:val="SBEMPHASISWORD"/>
          <w:rFonts w:ascii="Calibri" w:hAnsi="Calibri"/>
          <w:b w:val="0"/>
          <w:color w:val="auto"/>
          <w:sz w:val="26"/>
        </w:rPr>
        <w:t xml:space="preserve">Eligibility of expenditures </w:t>
      </w:r>
      <w:r w:rsidR="007A0D54" w:rsidRPr="00DD1562">
        <w:rPr>
          <w:rStyle w:val="SBEMPHASISWORD"/>
          <w:rFonts w:ascii="Calibri" w:hAnsi="Calibri"/>
          <w:b w:val="0"/>
          <w:color w:val="auto"/>
          <w:sz w:val="26"/>
        </w:rPr>
        <w:t>referring to project activities affected by the COVID-19 pandemic</w:t>
      </w:r>
      <w:r w:rsidR="007A0D54" w:rsidRPr="00DD1562" w:rsidDel="00CC6EDC">
        <w:rPr>
          <w:rStyle w:val="SBEMPHASISWORD"/>
          <w:rFonts w:ascii="Calibri" w:hAnsi="Calibri"/>
          <w:b w:val="0"/>
          <w:color w:val="auto"/>
          <w:sz w:val="26"/>
        </w:rPr>
        <w:t xml:space="preserve"> </w:t>
      </w:r>
    </w:p>
    <w:p w14:paraId="1D5AA99A" w14:textId="1DBDEE71" w:rsidR="00E72D26" w:rsidRPr="00DD1562" w:rsidRDefault="007A0D54" w:rsidP="00DD1562">
      <w:pPr>
        <w:pStyle w:val="ListParagraph"/>
        <w:numPr>
          <w:ilvl w:val="1"/>
          <w:numId w:val="42"/>
        </w:numPr>
        <w:spacing w:line="360" w:lineRule="auto"/>
        <w:rPr>
          <w:sz w:val="24"/>
          <w:szCs w:val="24"/>
        </w:rPr>
      </w:pPr>
      <w:r w:rsidRPr="00DD1562">
        <w:rPr>
          <w:sz w:val="24"/>
          <w:szCs w:val="24"/>
        </w:rPr>
        <w:t>If</w:t>
      </w:r>
      <w:r w:rsidR="004F322A" w:rsidRPr="00DD1562">
        <w:rPr>
          <w:sz w:val="24"/>
          <w:szCs w:val="24"/>
        </w:rPr>
        <w:t xml:space="preserve"> the meeting or an event </w:t>
      </w:r>
      <w:r w:rsidR="00E72D26" w:rsidRPr="00DD1562">
        <w:rPr>
          <w:sz w:val="24"/>
          <w:szCs w:val="24"/>
        </w:rPr>
        <w:t>is</w:t>
      </w:r>
      <w:r w:rsidR="00E74104" w:rsidRPr="00DD1562">
        <w:rPr>
          <w:sz w:val="24"/>
          <w:szCs w:val="24"/>
        </w:rPr>
        <w:t xml:space="preserve"> </w:t>
      </w:r>
      <w:r w:rsidR="004F322A" w:rsidRPr="00DD1562">
        <w:rPr>
          <w:sz w:val="24"/>
          <w:szCs w:val="24"/>
        </w:rPr>
        <w:t>cancelled</w:t>
      </w:r>
      <w:r w:rsidR="00B607D3" w:rsidRPr="00DD1562">
        <w:rPr>
          <w:sz w:val="24"/>
          <w:szCs w:val="24"/>
        </w:rPr>
        <w:t xml:space="preserve"> </w:t>
      </w:r>
      <w:r w:rsidR="004F322A" w:rsidRPr="00DD1562">
        <w:rPr>
          <w:sz w:val="24"/>
          <w:szCs w:val="24"/>
        </w:rPr>
        <w:t xml:space="preserve">and </w:t>
      </w:r>
      <w:r w:rsidR="00B607D3" w:rsidRPr="00DD1562">
        <w:rPr>
          <w:sz w:val="24"/>
          <w:szCs w:val="24"/>
        </w:rPr>
        <w:t xml:space="preserve">related </w:t>
      </w:r>
      <w:r w:rsidR="004F322A" w:rsidRPr="00DD1562">
        <w:rPr>
          <w:sz w:val="24"/>
          <w:szCs w:val="24"/>
        </w:rPr>
        <w:t xml:space="preserve">costs </w:t>
      </w:r>
      <w:r w:rsidR="00E74104" w:rsidRPr="00DD1562">
        <w:rPr>
          <w:sz w:val="24"/>
          <w:szCs w:val="24"/>
        </w:rPr>
        <w:t xml:space="preserve">were </w:t>
      </w:r>
      <w:r w:rsidR="004F322A" w:rsidRPr="00DD1562">
        <w:rPr>
          <w:sz w:val="24"/>
          <w:szCs w:val="24"/>
        </w:rPr>
        <w:t>incurred, it</w:t>
      </w:r>
      <w:r w:rsidR="001A360B" w:rsidRPr="00DD1562">
        <w:rPr>
          <w:sz w:val="24"/>
          <w:szCs w:val="24"/>
        </w:rPr>
        <w:t> </w:t>
      </w:r>
      <w:r w:rsidR="004F322A" w:rsidRPr="00DD1562">
        <w:rPr>
          <w:sz w:val="24"/>
          <w:szCs w:val="24"/>
        </w:rPr>
        <w:t xml:space="preserve">is recommended to </w:t>
      </w:r>
      <w:r w:rsidR="00854B64" w:rsidRPr="00DD1562">
        <w:rPr>
          <w:sz w:val="24"/>
          <w:szCs w:val="24"/>
        </w:rPr>
        <w:t>recover</w:t>
      </w:r>
      <w:r w:rsidR="00560F9B" w:rsidRPr="00DD1562">
        <w:rPr>
          <w:sz w:val="24"/>
          <w:szCs w:val="24"/>
        </w:rPr>
        <w:t xml:space="preserve"> all possible</w:t>
      </w:r>
      <w:r w:rsidR="00854B64" w:rsidRPr="00DD1562">
        <w:rPr>
          <w:sz w:val="24"/>
          <w:szCs w:val="24"/>
        </w:rPr>
        <w:t xml:space="preserve"> costs </w:t>
      </w:r>
      <w:r w:rsidR="004F322A" w:rsidRPr="00DD1562">
        <w:rPr>
          <w:sz w:val="24"/>
          <w:szCs w:val="24"/>
        </w:rPr>
        <w:t xml:space="preserve">as quickly as possible according to contractual terms. </w:t>
      </w:r>
    </w:p>
    <w:p w14:paraId="3A293590" w14:textId="77777777" w:rsidR="00832FAA" w:rsidRPr="00DD1562" w:rsidRDefault="004F322A" w:rsidP="00DD1562">
      <w:pPr>
        <w:pStyle w:val="ListParagraph"/>
        <w:numPr>
          <w:ilvl w:val="1"/>
          <w:numId w:val="42"/>
        </w:numPr>
        <w:spacing w:line="360" w:lineRule="auto"/>
        <w:rPr>
          <w:sz w:val="24"/>
          <w:szCs w:val="24"/>
        </w:rPr>
      </w:pPr>
      <w:r w:rsidRPr="00DD1562">
        <w:rPr>
          <w:sz w:val="24"/>
          <w:szCs w:val="24"/>
        </w:rPr>
        <w:t xml:space="preserve">In the situation of delays regarding purchase or deliveries of </w:t>
      </w:r>
      <w:r w:rsidR="00FE46CE" w:rsidRPr="00DD1562">
        <w:rPr>
          <w:sz w:val="24"/>
          <w:szCs w:val="24"/>
        </w:rPr>
        <w:t xml:space="preserve">services or </w:t>
      </w:r>
      <w:r w:rsidRPr="00DD1562">
        <w:rPr>
          <w:sz w:val="24"/>
          <w:szCs w:val="24"/>
        </w:rPr>
        <w:t xml:space="preserve">equipment or works it is recommended to change delivery </w:t>
      </w:r>
      <w:r w:rsidR="001A360B" w:rsidRPr="00DD1562">
        <w:rPr>
          <w:sz w:val="24"/>
          <w:szCs w:val="24"/>
        </w:rPr>
        <w:t xml:space="preserve">date </w:t>
      </w:r>
      <w:r w:rsidRPr="00DD1562">
        <w:rPr>
          <w:sz w:val="24"/>
          <w:szCs w:val="24"/>
        </w:rPr>
        <w:t xml:space="preserve">or works </w:t>
      </w:r>
      <w:r w:rsidR="001A360B" w:rsidRPr="00DD1562">
        <w:rPr>
          <w:sz w:val="24"/>
          <w:szCs w:val="24"/>
        </w:rPr>
        <w:t xml:space="preserve">schedule </w:t>
      </w:r>
      <w:r w:rsidRPr="00DD1562">
        <w:rPr>
          <w:sz w:val="24"/>
          <w:szCs w:val="24"/>
        </w:rPr>
        <w:t>within project implementation period.</w:t>
      </w:r>
      <w:r w:rsidR="007A0D54" w:rsidRPr="00DD1562">
        <w:rPr>
          <w:sz w:val="24"/>
          <w:szCs w:val="24"/>
        </w:rPr>
        <w:t xml:space="preserve"> </w:t>
      </w:r>
    </w:p>
    <w:p w14:paraId="59F8AD21" w14:textId="77777777" w:rsidR="000F4FDF" w:rsidRPr="00DD1562" w:rsidRDefault="004F322A" w:rsidP="00DD1562">
      <w:pPr>
        <w:pStyle w:val="ListParagraph"/>
        <w:numPr>
          <w:ilvl w:val="1"/>
          <w:numId w:val="42"/>
        </w:numPr>
        <w:spacing w:line="360" w:lineRule="auto"/>
        <w:rPr>
          <w:sz w:val="24"/>
          <w:szCs w:val="24"/>
        </w:rPr>
      </w:pPr>
      <w:r w:rsidRPr="00DD1562">
        <w:rPr>
          <w:sz w:val="24"/>
          <w:szCs w:val="24"/>
        </w:rPr>
        <w:t xml:space="preserve">Expenditures related to travels, meetings, events, etc. </w:t>
      </w:r>
      <w:r w:rsidR="00845C68" w:rsidRPr="00DD1562">
        <w:rPr>
          <w:sz w:val="24"/>
          <w:szCs w:val="24"/>
        </w:rPr>
        <w:t xml:space="preserve">cancelled by project partners </w:t>
      </w:r>
      <w:r w:rsidR="00C5753A" w:rsidRPr="00DD1562">
        <w:rPr>
          <w:sz w:val="24"/>
          <w:szCs w:val="24"/>
        </w:rPr>
        <w:t xml:space="preserve">due to COVID-19 epidemic situation </w:t>
      </w:r>
      <w:r w:rsidRPr="00DD1562">
        <w:rPr>
          <w:sz w:val="24"/>
          <w:szCs w:val="24"/>
        </w:rPr>
        <w:t xml:space="preserve">(e.g. tickets, pre-paid </w:t>
      </w:r>
      <w:r w:rsidR="00CA7392" w:rsidRPr="00DD1562">
        <w:rPr>
          <w:sz w:val="24"/>
          <w:szCs w:val="24"/>
        </w:rPr>
        <w:t>accommodation</w:t>
      </w:r>
      <w:r w:rsidRPr="00DD1562">
        <w:rPr>
          <w:sz w:val="24"/>
          <w:szCs w:val="24"/>
        </w:rPr>
        <w:t xml:space="preserve">, booking of the conference room, event services, other procurements) </w:t>
      </w:r>
      <w:r w:rsidR="00B91BB6" w:rsidRPr="00DD1562">
        <w:rPr>
          <w:sz w:val="24"/>
          <w:szCs w:val="24"/>
        </w:rPr>
        <w:t xml:space="preserve">shall be regarded as eligible, under the following conditions: </w:t>
      </w:r>
    </w:p>
    <w:p w14:paraId="3416A055" w14:textId="77777777" w:rsidR="000F4FDF" w:rsidRPr="00DD1562" w:rsidRDefault="00B91BB6" w:rsidP="00061BF9">
      <w:pPr>
        <w:pStyle w:val="ListParagraph"/>
        <w:numPr>
          <w:ilvl w:val="0"/>
          <w:numId w:val="43"/>
        </w:numPr>
        <w:spacing w:line="360" w:lineRule="auto"/>
        <w:ind w:left="360"/>
        <w:rPr>
          <w:sz w:val="24"/>
          <w:szCs w:val="24"/>
        </w:rPr>
      </w:pPr>
      <w:r w:rsidRPr="00DD1562">
        <w:rPr>
          <w:sz w:val="24"/>
          <w:szCs w:val="24"/>
        </w:rPr>
        <w:t xml:space="preserve">expenditures </w:t>
      </w:r>
      <w:r w:rsidR="004F322A" w:rsidRPr="00DD1562">
        <w:rPr>
          <w:sz w:val="24"/>
          <w:szCs w:val="24"/>
        </w:rPr>
        <w:t>were incurred before</w:t>
      </w:r>
      <w:r w:rsidR="009F643B" w:rsidRPr="00DD1562">
        <w:rPr>
          <w:sz w:val="24"/>
          <w:szCs w:val="24"/>
        </w:rPr>
        <w:t xml:space="preserve"> the date of publication of this communication</w:t>
      </w:r>
      <w:r w:rsidR="001F7E6C" w:rsidRPr="00DD1562">
        <w:rPr>
          <w:sz w:val="24"/>
          <w:szCs w:val="24"/>
        </w:rPr>
        <w:t xml:space="preserve"> and</w:t>
      </w:r>
    </w:p>
    <w:p w14:paraId="6311B272" w14:textId="77777777" w:rsidR="000F4FDF" w:rsidRPr="00DD1562" w:rsidRDefault="004B2DDD" w:rsidP="00061BF9">
      <w:pPr>
        <w:pStyle w:val="ListParagraph"/>
        <w:numPr>
          <w:ilvl w:val="0"/>
          <w:numId w:val="43"/>
        </w:numPr>
        <w:spacing w:line="360" w:lineRule="auto"/>
        <w:ind w:left="360"/>
        <w:rPr>
          <w:sz w:val="24"/>
          <w:szCs w:val="24"/>
        </w:rPr>
      </w:pPr>
      <w:r w:rsidRPr="00DD1562">
        <w:rPr>
          <w:sz w:val="24"/>
          <w:szCs w:val="24"/>
        </w:rPr>
        <w:t>the project partner proves that the recovery of costs incurred is impossible</w:t>
      </w:r>
      <w:r w:rsidR="00035336" w:rsidRPr="00DD1562">
        <w:rPr>
          <w:sz w:val="24"/>
          <w:szCs w:val="24"/>
        </w:rPr>
        <w:t>,</w:t>
      </w:r>
      <w:r w:rsidRPr="00DD1562" w:rsidDel="004B2DDD">
        <w:rPr>
          <w:sz w:val="24"/>
          <w:szCs w:val="24"/>
        </w:rPr>
        <w:t xml:space="preserve"> </w:t>
      </w:r>
      <w:r w:rsidR="004F322A" w:rsidRPr="00DD1562">
        <w:rPr>
          <w:sz w:val="24"/>
          <w:szCs w:val="24"/>
        </w:rPr>
        <w:t xml:space="preserve">however </w:t>
      </w:r>
      <w:r w:rsidR="00E2575E" w:rsidRPr="00DD1562">
        <w:rPr>
          <w:sz w:val="24"/>
          <w:szCs w:val="24"/>
        </w:rPr>
        <w:t xml:space="preserve">project partners </w:t>
      </w:r>
      <w:r w:rsidR="004F322A" w:rsidRPr="00DD1562">
        <w:rPr>
          <w:sz w:val="24"/>
          <w:szCs w:val="24"/>
        </w:rPr>
        <w:t>are obliged to minimize such expenditure</w:t>
      </w:r>
      <w:r w:rsidR="00E2575E" w:rsidRPr="00DD1562">
        <w:rPr>
          <w:sz w:val="24"/>
          <w:szCs w:val="24"/>
        </w:rPr>
        <w:t>s</w:t>
      </w:r>
      <w:r w:rsidR="004F322A" w:rsidRPr="00DD1562">
        <w:rPr>
          <w:sz w:val="24"/>
          <w:szCs w:val="24"/>
        </w:rPr>
        <w:t xml:space="preserve"> and prove that they made all efforts to recover it fully or partially (it should be documented</w:t>
      </w:r>
      <w:r w:rsidR="00AE2A05" w:rsidRPr="00DD1562">
        <w:rPr>
          <w:sz w:val="24"/>
          <w:szCs w:val="24"/>
        </w:rPr>
        <w:t>,</w:t>
      </w:r>
      <w:r w:rsidR="004F322A" w:rsidRPr="00DD1562">
        <w:rPr>
          <w:sz w:val="24"/>
          <w:szCs w:val="24"/>
        </w:rPr>
        <w:t xml:space="preserve"> e.g. by e-mails)</w:t>
      </w:r>
      <w:r w:rsidR="001F7E6C" w:rsidRPr="00DD1562">
        <w:rPr>
          <w:sz w:val="24"/>
          <w:szCs w:val="24"/>
        </w:rPr>
        <w:t xml:space="preserve"> and</w:t>
      </w:r>
    </w:p>
    <w:p w14:paraId="38F7A9E3" w14:textId="77777777" w:rsidR="005D195A" w:rsidRPr="00DD1562" w:rsidRDefault="004F322A" w:rsidP="00061BF9">
      <w:pPr>
        <w:pStyle w:val="ListParagraph"/>
        <w:numPr>
          <w:ilvl w:val="0"/>
          <w:numId w:val="43"/>
        </w:numPr>
        <w:spacing w:line="360" w:lineRule="auto"/>
        <w:ind w:left="360"/>
        <w:rPr>
          <w:sz w:val="24"/>
          <w:szCs w:val="24"/>
        </w:rPr>
      </w:pPr>
      <w:r w:rsidRPr="00DD1562">
        <w:rPr>
          <w:sz w:val="24"/>
          <w:szCs w:val="24"/>
        </w:rPr>
        <w:t>they are subject to inevitable external circumstances (</w:t>
      </w:r>
      <w:bookmarkStart w:id="0" w:name="_Hlk35931482"/>
      <w:r w:rsidRPr="00DD1562">
        <w:rPr>
          <w:sz w:val="24"/>
          <w:szCs w:val="24"/>
        </w:rPr>
        <w:t xml:space="preserve">force majeure) </w:t>
      </w:r>
      <w:bookmarkEnd w:id="0"/>
      <w:r w:rsidRPr="00DD1562">
        <w:rPr>
          <w:sz w:val="24"/>
          <w:szCs w:val="24"/>
        </w:rPr>
        <w:t>e.g. official warnings by WHO or national authorities, or to the COVID-19 related medical condition (including quarantine or suspicion of some participant)</w:t>
      </w:r>
      <w:r w:rsidR="005D195A" w:rsidRPr="00DD1562">
        <w:rPr>
          <w:sz w:val="24"/>
          <w:szCs w:val="24"/>
        </w:rPr>
        <w:t xml:space="preserve"> and</w:t>
      </w:r>
    </w:p>
    <w:p w14:paraId="103D4794" w14:textId="77777777" w:rsidR="000F4FDF" w:rsidRPr="00DD1562" w:rsidRDefault="00760BB2" w:rsidP="00061BF9">
      <w:pPr>
        <w:pStyle w:val="ListParagraph"/>
        <w:numPr>
          <w:ilvl w:val="0"/>
          <w:numId w:val="43"/>
        </w:numPr>
        <w:spacing w:line="360" w:lineRule="auto"/>
        <w:ind w:left="360"/>
        <w:rPr>
          <w:sz w:val="24"/>
          <w:szCs w:val="24"/>
        </w:rPr>
      </w:pPr>
      <w:r w:rsidRPr="00DD1562">
        <w:rPr>
          <w:sz w:val="24"/>
          <w:szCs w:val="24"/>
        </w:rPr>
        <w:t>products or services related to meetings</w:t>
      </w:r>
      <w:r w:rsidR="005F5C75" w:rsidRPr="00DD1562">
        <w:rPr>
          <w:sz w:val="24"/>
          <w:szCs w:val="24"/>
        </w:rPr>
        <w:t>,</w:t>
      </w:r>
      <w:r w:rsidRPr="00DD1562">
        <w:rPr>
          <w:sz w:val="24"/>
          <w:szCs w:val="24"/>
        </w:rPr>
        <w:t xml:space="preserve"> events</w:t>
      </w:r>
      <w:r w:rsidR="005F5C75" w:rsidRPr="00DD1562">
        <w:rPr>
          <w:sz w:val="24"/>
          <w:szCs w:val="24"/>
        </w:rPr>
        <w:t>, etc.</w:t>
      </w:r>
      <w:r w:rsidRPr="00DD1562">
        <w:rPr>
          <w:sz w:val="24"/>
          <w:szCs w:val="24"/>
        </w:rPr>
        <w:t xml:space="preserve"> cannot be used in other times or during other activities</w:t>
      </w:r>
      <w:r w:rsidR="00461AC0" w:rsidRPr="00DD1562">
        <w:rPr>
          <w:sz w:val="24"/>
          <w:szCs w:val="24"/>
        </w:rPr>
        <w:t>.</w:t>
      </w:r>
    </w:p>
    <w:p w14:paraId="19EFB1A4" w14:textId="7B45C7BC" w:rsidR="000F4FDF" w:rsidRPr="00DD1562" w:rsidRDefault="004F322A" w:rsidP="00DD1562">
      <w:pPr>
        <w:pStyle w:val="ListParagraph"/>
        <w:numPr>
          <w:ilvl w:val="1"/>
          <w:numId w:val="42"/>
        </w:numPr>
        <w:spacing w:line="360" w:lineRule="auto"/>
        <w:rPr>
          <w:sz w:val="24"/>
          <w:szCs w:val="24"/>
        </w:rPr>
      </w:pPr>
      <w:r w:rsidRPr="00DD1562">
        <w:rPr>
          <w:sz w:val="24"/>
          <w:szCs w:val="24"/>
        </w:rPr>
        <w:t xml:space="preserve">Expenditures related to the travels, meetings, events, etc. </w:t>
      </w:r>
      <w:r w:rsidR="00AE2A05" w:rsidRPr="00DD1562">
        <w:rPr>
          <w:sz w:val="24"/>
          <w:szCs w:val="24"/>
        </w:rPr>
        <w:t xml:space="preserve">cancelled </w:t>
      </w:r>
      <w:r w:rsidR="00845C68" w:rsidRPr="00DD1562">
        <w:rPr>
          <w:sz w:val="24"/>
          <w:szCs w:val="24"/>
        </w:rPr>
        <w:t>by contractor (</w:t>
      </w:r>
      <w:r w:rsidR="009E31DB" w:rsidRPr="00DD1562">
        <w:rPr>
          <w:sz w:val="24"/>
          <w:szCs w:val="24"/>
        </w:rPr>
        <w:t>third parties</w:t>
      </w:r>
      <w:r w:rsidR="00845C68" w:rsidRPr="00DD1562">
        <w:rPr>
          <w:sz w:val="24"/>
          <w:szCs w:val="24"/>
        </w:rPr>
        <w:t xml:space="preserve">) </w:t>
      </w:r>
      <w:r w:rsidR="00C5753A" w:rsidRPr="00DD1562">
        <w:rPr>
          <w:sz w:val="24"/>
          <w:szCs w:val="24"/>
        </w:rPr>
        <w:t xml:space="preserve">due to COVID-19 epidemic situation </w:t>
      </w:r>
      <w:r w:rsidRPr="00DD1562">
        <w:rPr>
          <w:sz w:val="24"/>
          <w:szCs w:val="24"/>
        </w:rPr>
        <w:t xml:space="preserve">(e.g. tickets, pre-paid accommodation) that have occurred before the cancellation shall be eligible </w:t>
      </w:r>
      <w:r w:rsidR="00E2575E" w:rsidRPr="00DD1562">
        <w:rPr>
          <w:sz w:val="24"/>
          <w:szCs w:val="24"/>
        </w:rPr>
        <w:t xml:space="preserve">under the following conditions: </w:t>
      </w:r>
    </w:p>
    <w:p w14:paraId="1B7E8EE3" w14:textId="77777777" w:rsidR="00C94B75" w:rsidRPr="00DD1562" w:rsidRDefault="00C94B75" w:rsidP="00061BF9">
      <w:pPr>
        <w:pStyle w:val="ListParagraph"/>
        <w:numPr>
          <w:ilvl w:val="0"/>
          <w:numId w:val="44"/>
        </w:numPr>
        <w:spacing w:line="360" w:lineRule="auto"/>
        <w:ind w:left="360"/>
        <w:rPr>
          <w:sz w:val="24"/>
          <w:szCs w:val="24"/>
        </w:rPr>
      </w:pPr>
      <w:r w:rsidRPr="00DD1562">
        <w:rPr>
          <w:sz w:val="24"/>
          <w:szCs w:val="24"/>
        </w:rPr>
        <w:t>expenditures were incurred before the date of publication of this communication and</w:t>
      </w:r>
    </w:p>
    <w:p w14:paraId="613C57AE" w14:textId="77777777" w:rsidR="004E5CD6" w:rsidRPr="00DD1562" w:rsidRDefault="00E2575E" w:rsidP="00061BF9">
      <w:pPr>
        <w:pStyle w:val="ListParagraph"/>
        <w:numPr>
          <w:ilvl w:val="0"/>
          <w:numId w:val="44"/>
        </w:numPr>
        <w:spacing w:line="360" w:lineRule="auto"/>
        <w:ind w:left="360"/>
        <w:rPr>
          <w:sz w:val="24"/>
          <w:szCs w:val="24"/>
        </w:rPr>
      </w:pPr>
      <w:r w:rsidRPr="00DD1562">
        <w:rPr>
          <w:sz w:val="24"/>
          <w:szCs w:val="24"/>
        </w:rPr>
        <w:t>the project partner proves that the recovery of costs incurred is impossible,</w:t>
      </w:r>
      <w:r w:rsidRPr="00DD1562" w:rsidDel="004B2DDD">
        <w:rPr>
          <w:sz w:val="24"/>
          <w:szCs w:val="24"/>
        </w:rPr>
        <w:t xml:space="preserve"> </w:t>
      </w:r>
      <w:r w:rsidRPr="00DD1562">
        <w:rPr>
          <w:sz w:val="24"/>
          <w:szCs w:val="24"/>
        </w:rPr>
        <w:t>however project partners are obliged to minimize such expenditures and prove that they made all efforts to recover it fully or partially (it should be documented e.g. by e-mails)</w:t>
      </w:r>
      <w:r w:rsidR="001F7E6C" w:rsidRPr="00DD1562">
        <w:rPr>
          <w:sz w:val="24"/>
          <w:szCs w:val="24"/>
        </w:rPr>
        <w:t xml:space="preserve"> and</w:t>
      </w:r>
    </w:p>
    <w:p w14:paraId="62FC9769" w14:textId="77777777" w:rsidR="00760BB2" w:rsidRPr="00DD1562" w:rsidRDefault="004F322A" w:rsidP="00061BF9">
      <w:pPr>
        <w:pStyle w:val="ListParagraph"/>
        <w:numPr>
          <w:ilvl w:val="0"/>
          <w:numId w:val="44"/>
        </w:numPr>
        <w:spacing w:line="360" w:lineRule="auto"/>
        <w:ind w:left="360"/>
        <w:rPr>
          <w:sz w:val="24"/>
          <w:szCs w:val="24"/>
        </w:rPr>
      </w:pPr>
      <w:r w:rsidRPr="00DD1562">
        <w:rPr>
          <w:sz w:val="24"/>
          <w:szCs w:val="24"/>
        </w:rPr>
        <w:t>they are subject to inevitable external circumstances (force majeure) e.g. official warnings by WHO or national authorities, or to the COVID-19 related medical condition (including quarantine or suspicion of some participant)</w:t>
      </w:r>
      <w:r w:rsidR="00760BB2" w:rsidRPr="00DD1562">
        <w:rPr>
          <w:sz w:val="24"/>
          <w:szCs w:val="24"/>
        </w:rPr>
        <w:t xml:space="preserve"> and</w:t>
      </w:r>
    </w:p>
    <w:p w14:paraId="0F4971E3" w14:textId="77777777" w:rsidR="009F643B" w:rsidRPr="00DD1562" w:rsidRDefault="00DE5681" w:rsidP="00061BF9">
      <w:pPr>
        <w:pStyle w:val="ListParagraph"/>
        <w:numPr>
          <w:ilvl w:val="0"/>
          <w:numId w:val="44"/>
        </w:numPr>
        <w:spacing w:line="360" w:lineRule="auto"/>
        <w:ind w:left="360"/>
        <w:rPr>
          <w:sz w:val="24"/>
          <w:szCs w:val="24"/>
        </w:rPr>
      </w:pPr>
      <w:r w:rsidRPr="00DD1562">
        <w:rPr>
          <w:sz w:val="24"/>
          <w:szCs w:val="24"/>
        </w:rPr>
        <w:t>products or services related to meetings</w:t>
      </w:r>
      <w:r w:rsidR="005F5C75" w:rsidRPr="00DD1562">
        <w:rPr>
          <w:sz w:val="24"/>
          <w:szCs w:val="24"/>
        </w:rPr>
        <w:t>,</w:t>
      </w:r>
      <w:r w:rsidRPr="00DD1562">
        <w:rPr>
          <w:sz w:val="24"/>
          <w:szCs w:val="24"/>
        </w:rPr>
        <w:t xml:space="preserve"> events</w:t>
      </w:r>
      <w:r w:rsidR="005F5C75" w:rsidRPr="00DD1562">
        <w:rPr>
          <w:sz w:val="24"/>
          <w:szCs w:val="24"/>
        </w:rPr>
        <w:t>, etc.</w:t>
      </w:r>
      <w:r w:rsidRPr="00DD1562">
        <w:rPr>
          <w:sz w:val="24"/>
          <w:szCs w:val="24"/>
        </w:rPr>
        <w:t xml:space="preserve"> cannot be used in other times or during other activities.</w:t>
      </w:r>
    </w:p>
    <w:p w14:paraId="0FA2C3AC" w14:textId="77777777" w:rsidR="00DE5681" w:rsidRPr="00DD1562" w:rsidRDefault="00B607D3" w:rsidP="00DD1562">
      <w:pPr>
        <w:pStyle w:val="ListParagraph"/>
        <w:numPr>
          <w:ilvl w:val="1"/>
          <w:numId w:val="42"/>
        </w:numPr>
        <w:spacing w:line="360" w:lineRule="auto"/>
        <w:rPr>
          <w:sz w:val="24"/>
          <w:szCs w:val="24"/>
        </w:rPr>
      </w:pPr>
      <w:r w:rsidRPr="00DD1562">
        <w:rPr>
          <w:sz w:val="24"/>
          <w:szCs w:val="24"/>
        </w:rPr>
        <w:t>In the situation of project closure, costs which arose in the project implementation phase can be paid in the project closure phase. In justified cases, when activities contracted during the implementation period cannot be fully implemented before the project end date due to COVID-19 pandemic (i.e. services or equipment or works are contracted but cannot be delivered by the project end date), costs may be regarded as eligible.</w:t>
      </w:r>
    </w:p>
    <w:p w14:paraId="7239456B" w14:textId="77777777" w:rsidR="00DE5681" w:rsidRPr="00DD1562" w:rsidRDefault="007A0D54" w:rsidP="00DD1562">
      <w:pPr>
        <w:pStyle w:val="ListParagraph"/>
        <w:numPr>
          <w:ilvl w:val="1"/>
          <w:numId w:val="42"/>
        </w:numPr>
        <w:spacing w:line="360" w:lineRule="auto"/>
        <w:rPr>
          <w:sz w:val="24"/>
          <w:szCs w:val="24"/>
        </w:rPr>
      </w:pPr>
      <w:r w:rsidRPr="00DD1562">
        <w:rPr>
          <w:sz w:val="24"/>
          <w:szCs w:val="24"/>
        </w:rPr>
        <w:t xml:space="preserve">In any case, if the expenditure is refundable (from the provider, insurance, etc.), it cannot be claimed in the framework of the Programme. </w:t>
      </w:r>
    </w:p>
    <w:p w14:paraId="1A2912F5" w14:textId="77777777" w:rsidR="00DE5681" w:rsidRPr="009E31DB" w:rsidRDefault="004F322A" w:rsidP="00DD1562">
      <w:pPr>
        <w:pStyle w:val="ListParagraph"/>
        <w:numPr>
          <w:ilvl w:val="1"/>
          <w:numId w:val="42"/>
        </w:numPr>
        <w:spacing w:line="360" w:lineRule="auto"/>
        <w:rPr>
          <w:sz w:val="24"/>
          <w:szCs w:val="24"/>
        </w:rPr>
      </w:pPr>
      <w:r w:rsidRPr="009E31DB">
        <w:rPr>
          <w:sz w:val="24"/>
          <w:szCs w:val="24"/>
        </w:rPr>
        <w:t xml:space="preserve">Decisions regarding eligibility of costs will be done individually for each project. </w:t>
      </w:r>
    </w:p>
    <w:p w14:paraId="34C908DC" w14:textId="77777777" w:rsidR="000F4FDF" w:rsidRPr="00DD1562" w:rsidRDefault="00B74127" w:rsidP="00DD1562">
      <w:pPr>
        <w:pStyle w:val="Heading2"/>
        <w:numPr>
          <w:ilvl w:val="0"/>
          <w:numId w:val="40"/>
        </w:numPr>
        <w:rPr>
          <w:rStyle w:val="SBEMPHASISWORD"/>
          <w:rFonts w:ascii="Calibri" w:hAnsi="Calibri"/>
          <w:color w:val="auto"/>
          <w:sz w:val="26"/>
        </w:rPr>
      </w:pPr>
      <w:r w:rsidRPr="00DD1562">
        <w:rPr>
          <w:rStyle w:val="SBEMPHASISWORD"/>
          <w:rFonts w:ascii="Calibri" w:hAnsi="Calibri"/>
          <w:color w:val="auto"/>
          <w:sz w:val="26"/>
        </w:rPr>
        <w:t>R</w:t>
      </w:r>
      <w:r w:rsidR="004F322A" w:rsidRPr="00DD1562">
        <w:rPr>
          <w:rStyle w:val="SBEMPHASISWORD"/>
          <w:rFonts w:ascii="Calibri" w:hAnsi="Calibri"/>
          <w:color w:val="auto"/>
          <w:sz w:val="26"/>
        </w:rPr>
        <w:t>ecommendations</w:t>
      </w:r>
      <w:r w:rsidRPr="00DD1562">
        <w:rPr>
          <w:rStyle w:val="SBEMPHASISWORD"/>
          <w:rFonts w:ascii="Calibri" w:hAnsi="Calibri"/>
          <w:color w:val="auto"/>
          <w:sz w:val="26"/>
        </w:rPr>
        <w:t xml:space="preserve"> on activities planned during the COVID-19 pandemic</w:t>
      </w:r>
    </w:p>
    <w:p w14:paraId="1F65C12E" w14:textId="77777777" w:rsidR="000F4FDF" w:rsidRPr="00DF27B5" w:rsidRDefault="004F322A" w:rsidP="00DF27B5">
      <w:r w:rsidRPr="00DF27B5">
        <w:t xml:space="preserve">Due to dynamic situation, </w:t>
      </w:r>
      <w:r w:rsidR="00B74127" w:rsidRPr="00DF27B5">
        <w:t>it is recommended</w:t>
      </w:r>
      <w:r w:rsidRPr="00DF27B5">
        <w:t>:</w:t>
      </w:r>
    </w:p>
    <w:p w14:paraId="1DB0D2B6" w14:textId="77777777" w:rsidR="00DE5681" w:rsidRPr="00DD1562" w:rsidRDefault="00AC6E52" w:rsidP="00061BF9">
      <w:pPr>
        <w:pStyle w:val="ListParagraph"/>
        <w:numPr>
          <w:ilvl w:val="0"/>
          <w:numId w:val="45"/>
        </w:numPr>
        <w:spacing w:line="360" w:lineRule="auto"/>
        <w:ind w:left="360"/>
        <w:rPr>
          <w:sz w:val="24"/>
          <w:szCs w:val="24"/>
        </w:rPr>
      </w:pPr>
      <w:r w:rsidRPr="00DD1562">
        <w:rPr>
          <w:sz w:val="24"/>
          <w:szCs w:val="24"/>
        </w:rPr>
        <w:lastRenderedPageBreak/>
        <w:t xml:space="preserve">the planning of future events should be based on the current pandemic situation in order to avoid generating new costs that do not contribute to the achievement of project objectives; </w:t>
      </w:r>
      <w:r w:rsidR="00B74127" w:rsidRPr="00DD1562">
        <w:rPr>
          <w:sz w:val="24"/>
          <w:szCs w:val="24"/>
        </w:rPr>
        <w:t xml:space="preserve">for </w:t>
      </w:r>
      <w:r w:rsidR="004F322A" w:rsidRPr="00DD1562">
        <w:rPr>
          <w:sz w:val="24"/>
          <w:szCs w:val="24"/>
        </w:rPr>
        <w:t>future travels and events make use of flexible booking options and contractual arrangements allowing refundable cancellations</w:t>
      </w:r>
      <w:r w:rsidRPr="00DD1562">
        <w:rPr>
          <w:sz w:val="24"/>
          <w:szCs w:val="24"/>
        </w:rPr>
        <w:t>;</w:t>
      </w:r>
    </w:p>
    <w:p w14:paraId="23905128" w14:textId="6B69FE38" w:rsidR="000F4FDF" w:rsidRPr="00DD1562" w:rsidRDefault="00365C9B" w:rsidP="00061BF9">
      <w:pPr>
        <w:pStyle w:val="ListParagraph"/>
        <w:numPr>
          <w:ilvl w:val="0"/>
          <w:numId w:val="45"/>
        </w:numPr>
        <w:spacing w:line="360" w:lineRule="auto"/>
        <w:ind w:left="360"/>
        <w:rPr>
          <w:sz w:val="24"/>
          <w:szCs w:val="24"/>
        </w:rPr>
      </w:pPr>
      <w:r w:rsidRPr="00DD1562">
        <w:rPr>
          <w:sz w:val="24"/>
          <w:szCs w:val="24"/>
        </w:rPr>
        <w:t>i</w:t>
      </w:r>
      <w:r w:rsidR="004F322A" w:rsidRPr="00DD1562">
        <w:rPr>
          <w:sz w:val="24"/>
          <w:szCs w:val="24"/>
        </w:rPr>
        <w:t>n order to avoid negative impact to the project implementation, wherever possible it is recommended to replace cancelled meetings, events by on-line meetings</w:t>
      </w:r>
      <w:r w:rsidR="00B74127" w:rsidRPr="00DD1562">
        <w:rPr>
          <w:sz w:val="24"/>
          <w:szCs w:val="24"/>
        </w:rPr>
        <w:t xml:space="preserve">, </w:t>
      </w:r>
      <w:r w:rsidR="004F322A" w:rsidRPr="00DD1562">
        <w:rPr>
          <w:sz w:val="24"/>
          <w:szCs w:val="24"/>
        </w:rPr>
        <w:t>video-conferences, targeted online promotional campaigns, videos, online presentation of results, use of social media and website, etc.</w:t>
      </w:r>
      <w:r w:rsidR="00407FC7" w:rsidRPr="00DD1562">
        <w:rPr>
          <w:sz w:val="24"/>
          <w:szCs w:val="24"/>
        </w:rPr>
        <w:t>;</w:t>
      </w:r>
    </w:p>
    <w:p w14:paraId="7286387B" w14:textId="77777777" w:rsidR="000F4FDF" w:rsidRPr="00DD1562" w:rsidRDefault="00365C9B" w:rsidP="00061BF9">
      <w:pPr>
        <w:pStyle w:val="ListParagraph"/>
        <w:numPr>
          <w:ilvl w:val="0"/>
          <w:numId w:val="45"/>
        </w:numPr>
        <w:spacing w:line="360" w:lineRule="auto"/>
        <w:ind w:left="360"/>
        <w:rPr>
          <w:sz w:val="24"/>
          <w:szCs w:val="24"/>
        </w:rPr>
      </w:pPr>
      <w:r w:rsidRPr="00DD1562">
        <w:rPr>
          <w:sz w:val="24"/>
          <w:szCs w:val="24"/>
        </w:rPr>
        <w:t>i</w:t>
      </w:r>
      <w:r w:rsidR="004F322A" w:rsidRPr="00DD1562">
        <w:rPr>
          <w:sz w:val="24"/>
          <w:szCs w:val="24"/>
        </w:rPr>
        <w:t xml:space="preserve">n case project activities other than travel and events are </w:t>
      </w:r>
      <w:r w:rsidR="00845C68" w:rsidRPr="00DD1562">
        <w:rPr>
          <w:sz w:val="24"/>
          <w:szCs w:val="24"/>
        </w:rPr>
        <w:t xml:space="preserve">compromised by the </w:t>
      </w:r>
      <w:r w:rsidR="004F322A" w:rsidRPr="00DD1562">
        <w:rPr>
          <w:sz w:val="24"/>
          <w:szCs w:val="24"/>
        </w:rPr>
        <w:t>COVID-19-virus situation, projects are requested to properly document those cases and to identify alternative solutions to implement the activities in question.</w:t>
      </w:r>
    </w:p>
    <w:p w14:paraId="2231B56E" w14:textId="77777777" w:rsidR="000F4FDF" w:rsidRPr="00DD1562" w:rsidRDefault="004F322A" w:rsidP="00DD1562">
      <w:pPr>
        <w:pStyle w:val="Heading2"/>
        <w:numPr>
          <w:ilvl w:val="0"/>
          <w:numId w:val="40"/>
        </w:numPr>
        <w:rPr>
          <w:rStyle w:val="SBEMPHASISWORD"/>
          <w:rFonts w:ascii="Calibri" w:hAnsi="Calibri"/>
          <w:color w:val="auto"/>
          <w:sz w:val="26"/>
        </w:rPr>
      </w:pPr>
      <w:r w:rsidRPr="00DD1562">
        <w:rPr>
          <w:rStyle w:val="SBEMPHASISWORD"/>
          <w:rFonts w:ascii="Calibri" w:hAnsi="Calibri"/>
          <w:color w:val="auto"/>
          <w:sz w:val="26"/>
        </w:rPr>
        <w:t>Changes in the project</w:t>
      </w:r>
      <w:r w:rsidR="00440E37" w:rsidRPr="00DD1562">
        <w:rPr>
          <w:rStyle w:val="SBEMPHASISWORD"/>
          <w:rFonts w:ascii="Calibri" w:hAnsi="Calibri"/>
          <w:color w:val="auto"/>
          <w:sz w:val="26"/>
        </w:rPr>
        <w:t xml:space="preserve"> implementation</w:t>
      </w:r>
      <w:r w:rsidR="00CC6EDC" w:rsidRPr="00DD1562">
        <w:rPr>
          <w:rStyle w:val="SBEMPHASISWORD"/>
          <w:rFonts w:ascii="Calibri" w:hAnsi="Calibri"/>
          <w:color w:val="auto"/>
          <w:sz w:val="26"/>
        </w:rPr>
        <w:t xml:space="preserve"> </w:t>
      </w:r>
      <w:r w:rsidR="00B0326D" w:rsidRPr="00DD1562">
        <w:rPr>
          <w:rStyle w:val="SBEMPHASISWORD"/>
          <w:rFonts w:ascii="Calibri" w:hAnsi="Calibri"/>
          <w:color w:val="auto"/>
          <w:sz w:val="26"/>
        </w:rPr>
        <w:t>caused</w:t>
      </w:r>
      <w:r w:rsidR="00CC6EDC" w:rsidRPr="00DD1562">
        <w:rPr>
          <w:rStyle w:val="SBEMPHASISWORD"/>
          <w:rFonts w:ascii="Calibri" w:hAnsi="Calibri"/>
          <w:color w:val="auto"/>
          <w:sz w:val="26"/>
        </w:rPr>
        <w:t xml:space="preserve"> by the COVID-19 pandemic</w:t>
      </w:r>
    </w:p>
    <w:p w14:paraId="680A026B" w14:textId="77777777" w:rsidR="000F4FDF" w:rsidRPr="00DF27B5" w:rsidRDefault="004F322A" w:rsidP="00DF27B5">
      <w:proofErr w:type="gramStart"/>
      <w:r w:rsidRPr="00DF27B5">
        <w:t>As a general rule</w:t>
      </w:r>
      <w:proofErr w:type="gramEnd"/>
      <w:r w:rsidRPr="00DF27B5">
        <w:t xml:space="preserve">, project should be implemented in </w:t>
      </w:r>
      <w:r w:rsidR="00CC6EDC" w:rsidRPr="00DF27B5">
        <w:t xml:space="preserve">line </w:t>
      </w:r>
      <w:r w:rsidRPr="00DF27B5">
        <w:t xml:space="preserve">with the </w:t>
      </w:r>
      <w:r w:rsidR="00CC6EDC" w:rsidRPr="00DF27B5">
        <w:t xml:space="preserve">approved application and </w:t>
      </w:r>
      <w:r w:rsidR="00845C68" w:rsidRPr="00DF27B5">
        <w:t xml:space="preserve">the </w:t>
      </w:r>
      <w:r w:rsidR="00CC6EDC" w:rsidRPr="00DF27B5">
        <w:t>Subsidy Contract</w:t>
      </w:r>
      <w:r w:rsidRPr="00DF27B5">
        <w:t>, trying to reach all foreseen objectives.</w:t>
      </w:r>
      <w:r w:rsidR="00B74127" w:rsidRPr="00DF27B5">
        <w:t xml:space="preserve"> </w:t>
      </w:r>
      <w:r w:rsidRPr="00DF27B5">
        <w:t>However, in case the COVID-19 pandemic ha</w:t>
      </w:r>
      <w:r w:rsidR="00845C68" w:rsidRPr="00DF27B5">
        <w:t>s</w:t>
      </w:r>
      <w:r w:rsidRPr="00DF27B5">
        <w:t xml:space="preserve"> direct impact on project implementation and there is a need to introduce changes in the project, the procedure of changes described in </w:t>
      </w:r>
      <w:r w:rsidR="00B74127" w:rsidRPr="00DF27B5">
        <w:t xml:space="preserve">the Programme Manual Chapter VI Section 6 ‘Changes during project implementation’ </w:t>
      </w:r>
      <w:r w:rsidRPr="00DF27B5">
        <w:t xml:space="preserve">should be </w:t>
      </w:r>
      <w:r w:rsidR="00CC6EDC" w:rsidRPr="00DF27B5">
        <w:t>followed</w:t>
      </w:r>
      <w:r w:rsidR="00845C68" w:rsidRPr="00DF27B5">
        <w:t>,</w:t>
      </w:r>
      <w:r w:rsidR="00CC6EDC" w:rsidRPr="00DF27B5">
        <w:t xml:space="preserve"> </w:t>
      </w:r>
      <w:r w:rsidRPr="00DF27B5">
        <w:t xml:space="preserve">with </w:t>
      </w:r>
      <w:r w:rsidR="00845C68" w:rsidRPr="00DF27B5">
        <w:t xml:space="preserve">some </w:t>
      </w:r>
      <w:r w:rsidRPr="00DF27B5">
        <w:t>exceptions</w:t>
      </w:r>
      <w:r w:rsidR="008F2744" w:rsidRPr="00DF27B5">
        <w:t xml:space="preserve"> possible</w:t>
      </w:r>
      <w:r w:rsidRPr="00DF27B5">
        <w:t>:</w:t>
      </w:r>
    </w:p>
    <w:p w14:paraId="630BAB52" w14:textId="6480CC35" w:rsidR="00440E37" w:rsidRPr="00DF27B5" w:rsidRDefault="00440E37" w:rsidP="00DF27B5">
      <w:r w:rsidRPr="00DF27B5">
        <w:t>Changes requiring the decision of the Joint Secretariat</w:t>
      </w:r>
      <w:r w:rsidR="000827A4" w:rsidRPr="00DF27B5">
        <w:t xml:space="preserve"> or the Monitoring Committee</w:t>
      </w:r>
      <w:r w:rsidR="0007503B" w:rsidRPr="00DF27B5">
        <w:t>:</w:t>
      </w:r>
    </w:p>
    <w:p w14:paraId="51B84A92" w14:textId="77777777" w:rsidR="00A66F56" w:rsidRPr="00DD1562" w:rsidRDefault="004F322A" w:rsidP="00061BF9">
      <w:pPr>
        <w:pStyle w:val="ListParagraph"/>
        <w:numPr>
          <w:ilvl w:val="0"/>
          <w:numId w:val="46"/>
        </w:numPr>
        <w:spacing w:line="360" w:lineRule="auto"/>
        <w:ind w:left="360"/>
        <w:rPr>
          <w:sz w:val="24"/>
          <w:szCs w:val="24"/>
        </w:rPr>
      </w:pPr>
      <w:r w:rsidRPr="00DD1562">
        <w:rPr>
          <w:sz w:val="24"/>
          <w:szCs w:val="24"/>
        </w:rPr>
        <w:t>The</w:t>
      </w:r>
      <w:r w:rsidR="00440E37" w:rsidRPr="00DD1562">
        <w:rPr>
          <w:sz w:val="24"/>
          <w:szCs w:val="24"/>
        </w:rPr>
        <w:t xml:space="preserve"> rule to request changes that are subject to </w:t>
      </w:r>
      <w:r w:rsidR="00A66F56" w:rsidRPr="00DD1562">
        <w:rPr>
          <w:sz w:val="24"/>
          <w:szCs w:val="24"/>
        </w:rPr>
        <w:t xml:space="preserve">the </w:t>
      </w:r>
      <w:r w:rsidR="00440E37" w:rsidRPr="00DD1562">
        <w:rPr>
          <w:sz w:val="24"/>
          <w:szCs w:val="24"/>
        </w:rPr>
        <w:t xml:space="preserve">JS decision only once per project lifetime </w:t>
      </w:r>
      <w:r w:rsidR="00A66F56" w:rsidRPr="00DD1562">
        <w:rPr>
          <w:sz w:val="24"/>
          <w:szCs w:val="24"/>
        </w:rPr>
        <w:t xml:space="preserve">and the rule to submit the request for changes to the JS at the latest two months before the project completion date, </w:t>
      </w:r>
      <w:r w:rsidR="000827A4" w:rsidRPr="00DD1562">
        <w:rPr>
          <w:sz w:val="24"/>
          <w:szCs w:val="24"/>
        </w:rPr>
        <w:t>does not apply to changes in the project implementation caused by the COVID-19 pandemic. This refers especially to budget changes, changes in the work plan or spending plan. Such changes should be communicated to JS as soon as possible, upon the needs of the partnership</w:t>
      </w:r>
      <w:r w:rsidR="00A66F56" w:rsidRPr="00DD1562">
        <w:rPr>
          <w:sz w:val="24"/>
          <w:szCs w:val="24"/>
        </w:rPr>
        <w:t>.</w:t>
      </w:r>
    </w:p>
    <w:p w14:paraId="26119E74" w14:textId="77777777" w:rsidR="000827A4" w:rsidRPr="00DD1562" w:rsidRDefault="00A66F56" w:rsidP="00061BF9">
      <w:pPr>
        <w:pStyle w:val="ListParagraph"/>
        <w:numPr>
          <w:ilvl w:val="0"/>
          <w:numId w:val="46"/>
        </w:numPr>
        <w:spacing w:line="360" w:lineRule="auto"/>
        <w:ind w:left="360"/>
        <w:rPr>
          <w:sz w:val="24"/>
          <w:szCs w:val="24"/>
        </w:rPr>
      </w:pPr>
      <w:r w:rsidRPr="00DD1562">
        <w:rPr>
          <w:sz w:val="24"/>
          <w:szCs w:val="24"/>
        </w:rPr>
        <w:t>The rule to submit the request for changes requiring the MC decision to JS at the latest two months before the project completion date does not apply to changes in the project implementation caused by the COVID-19 pandemic. However, such changes should be communicated to JS as soon as possible to secure time for MC decision process.</w:t>
      </w:r>
    </w:p>
    <w:p w14:paraId="0CF892B3" w14:textId="77777777" w:rsidR="00C249F0" w:rsidRPr="00DD1562" w:rsidRDefault="004F322A" w:rsidP="00061BF9">
      <w:pPr>
        <w:pStyle w:val="ListParagraph"/>
        <w:numPr>
          <w:ilvl w:val="0"/>
          <w:numId w:val="46"/>
        </w:numPr>
        <w:spacing w:line="360" w:lineRule="auto"/>
        <w:ind w:left="360"/>
        <w:rPr>
          <w:sz w:val="24"/>
          <w:szCs w:val="24"/>
        </w:rPr>
      </w:pPr>
      <w:r w:rsidRPr="00DD1562">
        <w:rPr>
          <w:sz w:val="24"/>
          <w:szCs w:val="24"/>
        </w:rPr>
        <w:t xml:space="preserve">In case the COVID-19 pandemic directly influences the project activities in such a way that some of them would have to be postponed and performed after the initial project end date, the extension of the project implementation period can be considered justified. </w:t>
      </w:r>
    </w:p>
    <w:p w14:paraId="3720863D" w14:textId="77777777" w:rsidR="00C249F0" w:rsidRPr="00DD1562" w:rsidRDefault="00C249F0" w:rsidP="00061BF9">
      <w:pPr>
        <w:pStyle w:val="ListParagraph"/>
        <w:numPr>
          <w:ilvl w:val="0"/>
          <w:numId w:val="46"/>
        </w:numPr>
        <w:spacing w:line="360" w:lineRule="auto"/>
        <w:ind w:left="360"/>
        <w:rPr>
          <w:sz w:val="24"/>
          <w:szCs w:val="24"/>
        </w:rPr>
      </w:pPr>
      <w:r w:rsidRPr="00DD1562">
        <w:rPr>
          <w:sz w:val="24"/>
          <w:szCs w:val="24"/>
        </w:rPr>
        <w:t>The need for changes in the project should be communicated in the JS in the SL2014 system in order to maintain an appropriate audit trial.</w:t>
      </w:r>
    </w:p>
    <w:p w14:paraId="75CAA840" w14:textId="77777777" w:rsidR="009C61D5" w:rsidRPr="00DD1562" w:rsidRDefault="009C61D5" w:rsidP="00061BF9">
      <w:pPr>
        <w:pStyle w:val="ListParagraph"/>
        <w:numPr>
          <w:ilvl w:val="0"/>
          <w:numId w:val="46"/>
        </w:numPr>
        <w:spacing w:line="360" w:lineRule="auto"/>
        <w:ind w:left="360"/>
        <w:rPr>
          <w:sz w:val="24"/>
          <w:szCs w:val="24"/>
        </w:rPr>
      </w:pPr>
      <w:r w:rsidRPr="00DD1562">
        <w:rPr>
          <w:sz w:val="24"/>
          <w:szCs w:val="24"/>
        </w:rPr>
        <w:t xml:space="preserve">The request for changes should include all </w:t>
      </w:r>
      <w:r w:rsidR="006C673B" w:rsidRPr="00DD1562">
        <w:rPr>
          <w:sz w:val="24"/>
          <w:szCs w:val="24"/>
        </w:rPr>
        <w:t>issues identified</w:t>
      </w:r>
      <w:r w:rsidRPr="00DD1562">
        <w:rPr>
          <w:sz w:val="24"/>
          <w:szCs w:val="24"/>
        </w:rPr>
        <w:t xml:space="preserve"> </w:t>
      </w:r>
      <w:r w:rsidR="006C673B" w:rsidRPr="00DD1562">
        <w:rPr>
          <w:sz w:val="24"/>
          <w:szCs w:val="24"/>
        </w:rPr>
        <w:t>due</w:t>
      </w:r>
      <w:r w:rsidRPr="00DD1562">
        <w:rPr>
          <w:sz w:val="24"/>
          <w:szCs w:val="24"/>
        </w:rPr>
        <w:t xml:space="preserve"> to COVID-19 pandemic.</w:t>
      </w:r>
    </w:p>
    <w:p w14:paraId="7AA59423" w14:textId="214DA7BA" w:rsidR="008A1CDB" w:rsidRPr="00DF27B5" w:rsidRDefault="008A1CDB" w:rsidP="00DF27B5">
      <w:r w:rsidRPr="00DF27B5">
        <w:t xml:space="preserve">In 2020 it </w:t>
      </w:r>
      <w:proofErr w:type="gramStart"/>
      <w:r w:rsidRPr="00DF27B5">
        <w:t>is allowed to</w:t>
      </w:r>
      <w:proofErr w:type="gramEnd"/>
      <w:r w:rsidRPr="00DF27B5">
        <w:t xml:space="preserve"> apply for changes in the project which would complement the list of project’s specific goals (deliverables) with: mitigation of negative consequences of COVID-19 pandemic in the support area. Such requests should contain a ready concept of additional activities in the project. </w:t>
      </w:r>
      <w:r w:rsidR="00E32BA5" w:rsidRPr="00DF27B5">
        <w:t xml:space="preserve">Changes will be proceeded in line </w:t>
      </w:r>
      <w:r w:rsidR="005C42FB" w:rsidRPr="00DF27B5">
        <w:t>with</w:t>
      </w:r>
      <w:r w:rsidR="00E32BA5" w:rsidRPr="00DF27B5">
        <w:t xml:space="preserve"> the Programme Manual provisions stated in Chapter VI, section 6 Changes during project implementation. </w:t>
      </w:r>
      <w:r w:rsidRPr="00DF27B5">
        <w:t xml:space="preserve">They will be examined on an individual basis and will require an approval from the Monitoring Committee and signing an annex to the Subsidy Contract. </w:t>
      </w:r>
    </w:p>
    <w:p w14:paraId="3D30EA57" w14:textId="77777777" w:rsidR="005456F7" w:rsidRPr="00DD1562" w:rsidRDefault="005C0675" w:rsidP="00DF27B5">
      <w:pPr>
        <w:rPr>
          <w:b/>
          <w:bCs/>
        </w:rPr>
      </w:pPr>
      <w:r w:rsidRPr="00DD1562">
        <w:rPr>
          <w:b/>
          <w:bCs/>
        </w:rPr>
        <w:t>Please remember that it is not possible to apply for changes in the project after its ending date had elapsed.</w:t>
      </w:r>
    </w:p>
    <w:p w14:paraId="189AED8A" w14:textId="5D563EAA" w:rsidR="008A1CDB" w:rsidRPr="00DF27B5" w:rsidRDefault="008A1CDB" w:rsidP="00DF27B5">
      <w:r w:rsidRPr="00DF27B5">
        <w:t xml:space="preserve">In every case of requesting a change in the project, please bear in mind the goals of the project, reaching its results and the expected impact of the project on the </w:t>
      </w:r>
      <w:r w:rsidR="00DD1562" w:rsidRPr="00DF27B5">
        <w:t>Programme</w:t>
      </w:r>
      <w:r w:rsidRPr="00DF27B5">
        <w:t xml:space="preserve"> area. </w:t>
      </w:r>
    </w:p>
    <w:p w14:paraId="0A978A1F" w14:textId="77777777" w:rsidR="00542A6A" w:rsidRPr="00DD1562" w:rsidRDefault="00542A6A" w:rsidP="00DD1562">
      <w:pPr>
        <w:pStyle w:val="Heading2"/>
        <w:numPr>
          <w:ilvl w:val="0"/>
          <w:numId w:val="40"/>
        </w:numPr>
        <w:rPr>
          <w:rStyle w:val="SBEMPHASISWORD"/>
          <w:rFonts w:ascii="Calibri" w:hAnsi="Calibri"/>
          <w:color w:val="auto"/>
          <w:sz w:val="26"/>
        </w:rPr>
      </w:pPr>
      <w:r w:rsidRPr="00DD1562">
        <w:rPr>
          <w:rStyle w:val="SBEMPHASISWORD"/>
          <w:rFonts w:ascii="Calibri" w:hAnsi="Calibri"/>
          <w:color w:val="auto"/>
          <w:sz w:val="26"/>
        </w:rPr>
        <w:t>Indicators</w:t>
      </w:r>
    </w:p>
    <w:p w14:paraId="729A8992" w14:textId="77777777" w:rsidR="00E140DE" w:rsidRPr="00DF27B5" w:rsidRDefault="00E140DE" w:rsidP="00DF27B5">
      <w:r w:rsidRPr="00DF27B5">
        <w:t xml:space="preserve">Please refer to the Programme Manual (points 6.3 Changes to project main outputs and </w:t>
      </w:r>
      <w:r w:rsidRPr="00DF27B5">
        <w:lastRenderedPageBreak/>
        <w:t xml:space="preserve">deliverables and 6.8 Consequences of not meeting output indicators and spending targets regarding the necessity to carry out activities and reaching indicators. In case when non-reaching an indicator was due to a force majeure, or other circumstances outside the scope of influence of the beneficiary, the MA and / or the Monitoring Committee may refrain from decreasing the co-financing. Please remember that the JS must be informed in due time about the impossibility to reach indicators and provide the reasons justifying it. Each such case will be assessed on individual basis. As a rule, we suggest </w:t>
      </w:r>
      <w:proofErr w:type="gramStart"/>
      <w:r w:rsidRPr="00DF27B5">
        <w:t>to postpone</w:t>
      </w:r>
      <w:proofErr w:type="gramEnd"/>
      <w:r w:rsidRPr="00DF27B5">
        <w:t xml:space="preserve"> (if possible) the activities to a later time, and only resigning from their implementation when it occurs impossible or it would not be contributing to the goals of the project.</w:t>
      </w:r>
    </w:p>
    <w:p w14:paraId="2D9C9CBA" w14:textId="77777777" w:rsidR="000F4FDF" w:rsidRPr="009E31DB" w:rsidRDefault="004F322A" w:rsidP="009E31DB">
      <w:pPr>
        <w:pStyle w:val="Heading2"/>
        <w:numPr>
          <w:ilvl w:val="0"/>
          <w:numId w:val="40"/>
        </w:numPr>
        <w:rPr>
          <w:rStyle w:val="SBEMPHASISWORD"/>
          <w:rFonts w:ascii="Calibri" w:hAnsi="Calibri"/>
          <w:color w:val="auto"/>
          <w:sz w:val="26"/>
        </w:rPr>
      </w:pPr>
      <w:r w:rsidRPr="009E31DB">
        <w:rPr>
          <w:rStyle w:val="SBEMPHASISWORD"/>
          <w:rFonts w:ascii="Calibri" w:hAnsi="Calibri"/>
          <w:color w:val="auto"/>
          <w:sz w:val="26"/>
        </w:rPr>
        <w:t xml:space="preserve">Reporting in projects and cooperation with </w:t>
      </w:r>
      <w:r w:rsidR="00A66F56" w:rsidRPr="009E31DB">
        <w:rPr>
          <w:rStyle w:val="SBEMPHASISWORD"/>
          <w:rFonts w:ascii="Calibri" w:hAnsi="Calibri"/>
          <w:color w:val="auto"/>
          <w:sz w:val="26"/>
        </w:rPr>
        <w:t>FLC</w:t>
      </w:r>
    </w:p>
    <w:p w14:paraId="6C355A9E" w14:textId="513DAA66" w:rsidR="000F4FDF" w:rsidRPr="00DF27B5" w:rsidRDefault="004F322A" w:rsidP="00DF27B5">
      <w:r w:rsidRPr="00DF27B5">
        <w:t xml:space="preserve">The reporting procedure described in </w:t>
      </w:r>
      <w:r w:rsidR="00A66F56" w:rsidRPr="00DF27B5">
        <w:t xml:space="preserve">the Programme Manual Chapter VI Section 7 ‘Monitoring and Reporting’ </w:t>
      </w:r>
      <w:r w:rsidRPr="00DF27B5">
        <w:t>is still applicable, however, the following simplifications are introduced for the projects, which submit their reports during the COVID-19 pandemic:</w:t>
      </w:r>
    </w:p>
    <w:p w14:paraId="55E25170" w14:textId="77777777" w:rsidR="002C0F29" w:rsidRPr="009E31DB" w:rsidRDefault="002C0F29" w:rsidP="00061BF9">
      <w:pPr>
        <w:pStyle w:val="ListParagraph"/>
        <w:numPr>
          <w:ilvl w:val="0"/>
          <w:numId w:val="47"/>
        </w:numPr>
        <w:spacing w:line="360" w:lineRule="auto"/>
        <w:ind w:left="360"/>
        <w:rPr>
          <w:sz w:val="24"/>
          <w:szCs w:val="24"/>
        </w:rPr>
      </w:pPr>
      <w:r w:rsidRPr="009E31DB">
        <w:rPr>
          <w:sz w:val="24"/>
          <w:szCs w:val="24"/>
        </w:rPr>
        <w:t xml:space="preserve">The lead partner may allow project partners both from </w:t>
      </w:r>
      <w:proofErr w:type="spellStart"/>
      <w:r w:rsidRPr="009E31DB">
        <w:rPr>
          <w:sz w:val="24"/>
          <w:szCs w:val="24"/>
        </w:rPr>
        <w:t>centralised</w:t>
      </w:r>
      <w:proofErr w:type="spellEnd"/>
      <w:r w:rsidRPr="009E31DB">
        <w:rPr>
          <w:sz w:val="24"/>
          <w:szCs w:val="24"/>
        </w:rPr>
        <w:t xml:space="preserve"> and </w:t>
      </w:r>
      <w:proofErr w:type="spellStart"/>
      <w:r w:rsidRPr="009E31DB">
        <w:rPr>
          <w:sz w:val="24"/>
          <w:szCs w:val="24"/>
        </w:rPr>
        <w:t>decentralised</w:t>
      </w:r>
      <w:proofErr w:type="spellEnd"/>
      <w:r w:rsidRPr="009E31DB">
        <w:rPr>
          <w:sz w:val="24"/>
          <w:szCs w:val="24"/>
        </w:rPr>
        <w:t xml:space="preserve"> system to agree individually with their FLC to postpone the submission of a partner progress report. </w:t>
      </w:r>
    </w:p>
    <w:p w14:paraId="665B2135" w14:textId="77777777" w:rsidR="002C0F29" w:rsidRPr="009E31DB" w:rsidRDefault="002C0F29" w:rsidP="00061BF9">
      <w:pPr>
        <w:pStyle w:val="ListParagraph"/>
        <w:numPr>
          <w:ilvl w:val="0"/>
          <w:numId w:val="47"/>
        </w:numPr>
        <w:spacing w:line="360" w:lineRule="auto"/>
        <w:ind w:left="360"/>
        <w:rPr>
          <w:sz w:val="24"/>
          <w:szCs w:val="24"/>
        </w:rPr>
      </w:pPr>
      <w:r w:rsidRPr="009E31DB">
        <w:rPr>
          <w:sz w:val="24"/>
          <w:szCs w:val="24"/>
        </w:rPr>
        <w:t xml:space="preserve">The lead partner may agree with the JS to postpone the submission of </w:t>
      </w:r>
      <w:r w:rsidR="008F2744" w:rsidRPr="009E31DB">
        <w:rPr>
          <w:sz w:val="24"/>
          <w:szCs w:val="24"/>
        </w:rPr>
        <w:t xml:space="preserve">a </w:t>
      </w:r>
      <w:r w:rsidRPr="009E31DB">
        <w:rPr>
          <w:sz w:val="24"/>
          <w:szCs w:val="24"/>
        </w:rPr>
        <w:t xml:space="preserve">project progress report.  </w:t>
      </w:r>
    </w:p>
    <w:p w14:paraId="5115E131" w14:textId="77777777" w:rsidR="002C0F29" w:rsidRPr="009E31DB" w:rsidRDefault="002C0F29" w:rsidP="00061BF9">
      <w:pPr>
        <w:pStyle w:val="ListParagraph"/>
        <w:numPr>
          <w:ilvl w:val="0"/>
          <w:numId w:val="47"/>
        </w:numPr>
        <w:spacing w:line="360" w:lineRule="auto"/>
        <w:ind w:left="360"/>
        <w:rPr>
          <w:sz w:val="24"/>
          <w:szCs w:val="24"/>
        </w:rPr>
      </w:pPr>
      <w:r w:rsidRPr="009E31DB">
        <w:rPr>
          <w:sz w:val="24"/>
          <w:szCs w:val="24"/>
        </w:rPr>
        <w:t xml:space="preserve">The lead partner may agree with the JS to combine two reporting periods into one report. Before submitting the request to JS, the lead partner must agree it internally with project partners. </w:t>
      </w:r>
    </w:p>
    <w:p w14:paraId="4F6D0711" w14:textId="79E134E5" w:rsidR="002C0F29" w:rsidRPr="009E31DB" w:rsidRDefault="002C0F29" w:rsidP="00061BF9">
      <w:pPr>
        <w:pStyle w:val="ListParagraph"/>
        <w:numPr>
          <w:ilvl w:val="0"/>
          <w:numId w:val="47"/>
        </w:numPr>
        <w:spacing w:line="360" w:lineRule="auto"/>
        <w:ind w:left="360"/>
        <w:rPr>
          <w:sz w:val="24"/>
          <w:szCs w:val="24"/>
        </w:rPr>
      </w:pPr>
      <w:r w:rsidRPr="009E31DB">
        <w:rPr>
          <w:sz w:val="24"/>
          <w:szCs w:val="24"/>
        </w:rPr>
        <w:t xml:space="preserve">The lead partner may agree with the JS to submit </w:t>
      </w:r>
      <w:r w:rsidR="008746FD" w:rsidRPr="009E31DB">
        <w:rPr>
          <w:sz w:val="24"/>
          <w:szCs w:val="24"/>
        </w:rPr>
        <w:t xml:space="preserve">a </w:t>
      </w:r>
      <w:r w:rsidRPr="009E31DB">
        <w:rPr>
          <w:sz w:val="24"/>
          <w:szCs w:val="24"/>
        </w:rPr>
        <w:t>project progress report covering activities of only part of</w:t>
      </w:r>
      <w:r w:rsidR="00206670" w:rsidRPr="009E31DB">
        <w:rPr>
          <w:sz w:val="24"/>
          <w:szCs w:val="24"/>
        </w:rPr>
        <w:t> </w:t>
      </w:r>
      <w:r w:rsidRPr="009E31DB">
        <w:rPr>
          <w:sz w:val="24"/>
          <w:szCs w:val="24"/>
        </w:rPr>
        <w:t>partners</w:t>
      </w:r>
      <w:r w:rsidR="008137BC" w:rsidRPr="009E31DB">
        <w:rPr>
          <w:sz w:val="24"/>
          <w:szCs w:val="24"/>
        </w:rPr>
        <w:t xml:space="preserve"> only with condition that consent from all partners </w:t>
      </w:r>
      <w:r w:rsidR="008746FD" w:rsidRPr="009E31DB">
        <w:rPr>
          <w:sz w:val="24"/>
          <w:szCs w:val="24"/>
        </w:rPr>
        <w:t xml:space="preserve">was </w:t>
      </w:r>
      <w:r w:rsidR="008137BC" w:rsidRPr="009E31DB">
        <w:rPr>
          <w:sz w:val="24"/>
          <w:szCs w:val="24"/>
        </w:rPr>
        <w:t>received and partners which not reported shall have possibility to include not reported activities and expenditure during the next reporting period</w:t>
      </w:r>
      <w:r w:rsidRPr="009E31DB">
        <w:rPr>
          <w:sz w:val="24"/>
          <w:szCs w:val="24"/>
        </w:rPr>
        <w:t xml:space="preserve">. </w:t>
      </w:r>
    </w:p>
    <w:p w14:paraId="24B4F117" w14:textId="4FB72F8C" w:rsidR="002C0F29" w:rsidRPr="009E31DB" w:rsidRDefault="002C0F29" w:rsidP="00061BF9">
      <w:pPr>
        <w:pStyle w:val="ListParagraph"/>
        <w:numPr>
          <w:ilvl w:val="0"/>
          <w:numId w:val="47"/>
        </w:numPr>
        <w:spacing w:line="360" w:lineRule="auto"/>
        <w:ind w:left="360"/>
        <w:rPr>
          <w:sz w:val="24"/>
          <w:szCs w:val="24"/>
        </w:rPr>
      </w:pPr>
      <w:r w:rsidRPr="009E31DB">
        <w:rPr>
          <w:sz w:val="24"/>
          <w:szCs w:val="24"/>
        </w:rPr>
        <w:t xml:space="preserve">The lead partner may ask the JS to make an additional project progress report covering different than the standard reporting period. </w:t>
      </w:r>
    </w:p>
    <w:p w14:paraId="4C91D7FF" w14:textId="77777777" w:rsidR="002C0F29" w:rsidRPr="009E31DB" w:rsidRDefault="002C0F29" w:rsidP="00061BF9">
      <w:pPr>
        <w:pStyle w:val="ListParagraph"/>
        <w:numPr>
          <w:ilvl w:val="0"/>
          <w:numId w:val="47"/>
        </w:numPr>
        <w:spacing w:line="360" w:lineRule="auto"/>
        <w:ind w:left="360"/>
        <w:rPr>
          <w:sz w:val="24"/>
          <w:szCs w:val="24"/>
        </w:rPr>
      </w:pPr>
      <w:r w:rsidRPr="009E31DB">
        <w:rPr>
          <w:sz w:val="24"/>
          <w:szCs w:val="24"/>
        </w:rPr>
        <w:t>Any request regarding changes in reporting routine should be communicated to JS via SL2014 to keep the audit trail.</w:t>
      </w:r>
    </w:p>
    <w:p w14:paraId="121826E9" w14:textId="77777777" w:rsidR="00206670" w:rsidRPr="009E31DB" w:rsidRDefault="002C0F29" w:rsidP="00061BF9">
      <w:pPr>
        <w:pStyle w:val="ListParagraph"/>
        <w:numPr>
          <w:ilvl w:val="0"/>
          <w:numId w:val="47"/>
        </w:numPr>
        <w:spacing w:line="360" w:lineRule="auto"/>
        <w:ind w:left="360"/>
        <w:rPr>
          <w:sz w:val="24"/>
          <w:szCs w:val="24"/>
        </w:rPr>
      </w:pPr>
      <w:r w:rsidRPr="009E31DB">
        <w:rPr>
          <w:sz w:val="24"/>
          <w:szCs w:val="24"/>
        </w:rPr>
        <w:t>Individual arrangements between the project partners and the FLC during the time of emergency due to COVID-19 are allowed. This concerns especially regarding the deadlines and channels of document delivery and information flow, provided that the audit trail is maintained.</w:t>
      </w:r>
      <w:r w:rsidR="00542A6A" w:rsidRPr="009E31DB">
        <w:rPr>
          <w:sz w:val="24"/>
          <w:szCs w:val="24"/>
        </w:rPr>
        <w:t xml:space="preserve"> However, please note that the timeframe to complete the verification expenditure set by the Programme Manual remains unchanged and binding. </w:t>
      </w:r>
    </w:p>
    <w:p w14:paraId="439960E2" w14:textId="77777777" w:rsidR="00DE419F" w:rsidRPr="009E31DB" w:rsidRDefault="002C0F29" w:rsidP="00061BF9">
      <w:pPr>
        <w:pStyle w:val="ListParagraph"/>
        <w:numPr>
          <w:ilvl w:val="0"/>
          <w:numId w:val="47"/>
        </w:numPr>
        <w:spacing w:line="360" w:lineRule="auto"/>
        <w:ind w:left="360"/>
        <w:rPr>
          <w:sz w:val="24"/>
          <w:szCs w:val="24"/>
        </w:rPr>
      </w:pPr>
      <w:r w:rsidRPr="009E31DB">
        <w:rPr>
          <w:sz w:val="24"/>
          <w:szCs w:val="24"/>
        </w:rPr>
        <w:t>Obligatory on-the-spot checks may be partly done in a form of a desk check (</w:t>
      </w:r>
      <w:r w:rsidR="00206670" w:rsidRPr="009E31DB">
        <w:rPr>
          <w:sz w:val="24"/>
          <w:szCs w:val="24"/>
        </w:rPr>
        <w:t xml:space="preserve">i.e. </w:t>
      </w:r>
      <w:r w:rsidRPr="009E31DB">
        <w:rPr>
          <w:sz w:val="24"/>
          <w:szCs w:val="24"/>
        </w:rPr>
        <w:t>in case of financial check).</w:t>
      </w:r>
    </w:p>
    <w:p w14:paraId="56FC489D" w14:textId="2C495A97" w:rsidR="008F2744" w:rsidRDefault="008F2744" w:rsidP="007A2AEC">
      <w:pPr>
        <w:rPr>
          <w:b/>
          <w:bCs/>
        </w:rPr>
      </w:pPr>
      <w:r w:rsidRPr="009E31DB">
        <w:rPr>
          <w:b/>
          <w:bCs/>
        </w:rPr>
        <w:t xml:space="preserve">Please follow the </w:t>
      </w:r>
      <w:r w:rsidR="00CE5535" w:rsidRPr="009E31DB">
        <w:rPr>
          <w:b/>
          <w:bCs/>
        </w:rPr>
        <w:t>P</w:t>
      </w:r>
      <w:r w:rsidRPr="009E31DB">
        <w:rPr>
          <w:b/>
          <w:bCs/>
        </w:rPr>
        <w:t>rogramme website or contact the Joint Secretariat for any further updates of the above rules.</w:t>
      </w:r>
    </w:p>
    <w:p w14:paraId="15252A4D" w14:textId="4DD47E79" w:rsidR="009E31DB" w:rsidRPr="009E31DB" w:rsidRDefault="009E31DB" w:rsidP="009E31DB"/>
    <w:p w14:paraId="6C04D221" w14:textId="0FFE2497" w:rsidR="009E31DB" w:rsidRPr="009E31DB" w:rsidRDefault="009E31DB" w:rsidP="009E31DB"/>
    <w:p w14:paraId="23CE7E36" w14:textId="43CCB0CA" w:rsidR="009E31DB" w:rsidRPr="009E31DB" w:rsidRDefault="009E31DB" w:rsidP="009E31DB"/>
    <w:p w14:paraId="1EA700B0" w14:textId="07D22879" w:rsidR="009E31DB" w:rsidRPr="009E31DB" w:rsidRDefault="009E31DB" w:rsidP="009E31DB"/>
    <w:p w14:paraId="246756D7" w14:textId="2B7B4861" w:rsidR="009E31DB" w:rsidRPr="009E31DB" w:rsidRDefault="009E31DB" w:rsidP="009E31DB"/>
    <w:p w14:paraId="339475A6" w14:textId="617234EC" w:rsidR="009E31DB" w:rsidRPr="009E31DB" w:rsidRDefault="009E31DB" w:rsidP="009E31DB"/>
    <w:p w14:paraId="756536D8" w14:textId="46F5F900" w:rsidR="009E31DB" w:rsidRPr="009E31DB" w:rsidRDefault="009E31DB" w:rsidP="009E31DB">
      <w:pPr>
        <w:tabs>
          <w:tab w:val="left" w:pos="3252"/>
        </w:tabs>
      </w:pPr>
      <w:r>
        <w:tab/>
      </w:r>
    </w:p>
    <w:sectPr w:rsidR="009E31DB" w:rsidRPr="009E31DB" w:rsidSect="009E31DB">
      <w:headerReference w:type="default" r:id="rId8"/>
      <w:footerReference w:type="default" r:id="rId9"/>
      <w:headerReference w:type="first" r:id="rId10"/>
      <w:footerReference w:type="first" r:id="rId11"/>
      <w:pgSz w:w="12240" w:h="15840"/>
      <w:pgMar w:top="1980" w:right="1418" w:bottom="1135" w:left="1418" w:header="720" w:footer="54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2BA6D" w14:textId="77777777" w:rsidR="000A5ABE" w:rsidRDefault="000A5ABE">
      <w:pPr>
        <w:spacing w:after="0" w:line="240" w:lineRule="auto"/>
      </w:pPr>
      <w:r>
        <w:separator/>
      </w:r>
    </w:p>
  </w:endnote>
  <w:endnote w:type="continuationSeparator" w:id="0">
    <w:p w14:paraId="1B2B76EF" w14:textId="77777777" w:rsidR="000A5ABE" w:rsidRDefault="000A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DA08" w14:textId="77777777" w:rsidR="00DD1562" w:rsidRDefault="00DD1562" w:rsidP="00DD1562">
    <w:pPr>
      <w:pStyle w:val="Footer"/>
      <w:tabs>
        <w:tab w:val="clear" w:pos="4536"/>
        <w:tab w:val="left" w:pos="0"/>
        <w:tab w:val="center" w:pos="1710"/>
        <w:tab w:val="right" w:pos="9404"/>
      </w:tabs>
      <w:rPr>
        <w:sz w:val="24"/>
        <w:szCs w:val="24"/>
      </w:rPr>
    </w:pPr>
    <w:r w:rsidRPr="00DD1562">
      <w:rPr>
        <w:sz w:val="24"/>
        <w:szCs w:val="24"/>
      </w:rPr>
      <w:tab/>
    </w:r>
  </w:p>
  <w:p w14:paraId="3573C40C" w14:textId="77777777" w:rsidR="009E31DB" w:rsidRDefault="009E31DB" w:rsidP="00DD1562">
    <w:pPr>
      <w:pStyle w:val="Footer"/>
      <w:tabs>
        <w:tab w:val="clear" w:pos="4536"/>
        <w:tab w:val="left" w:pos="0"/>
        <w:tab w:val="center" w:pos="1710"/>
        <w:tab w:val="right" w:pos="9404"/>
      </w:tabs>
      <w:rPr>
        <w:sz w:val="24"/>
        <w:szCs w:val="24"/>
      </w:rPr>
    </w:pPr>
    <w:r w:rsidRPr="009E31DB">
      <w:rPr>
        <w:sz w:val="24"/>
        <w:szCs w:val="24"/>
      </w:rPr>
      <w:t>The document meets the accessibility rules</w:t>
    </w:r>
  </w:p>
  <w:p w14:paraId="68376C96" w14:textId="44CE327D" w:rsidR="00DD1562" w:rsidRPr="00DD1562" w:rsidRDefault="00DD1562" w:rsidP="00DD1562">
    <w:pPr>
      <w:pStyle w:val="Footer"/>
      <w:tabs>
        <w:tab w:val="clear" w:pos="4536"/>
        <w:tab w:val="left" w:pos="0"/>
        <w:tab w:val="center" w:pos="1710"/>
        <w:tab w:val="right" w:pos="9404"/>
      </w:tabs>
      <w:rPr>
        <w:sz w:val="24"/>
        <w:szCs w:val="24"/>
      </w:rPr>
    </w:pPr>
    <w:r w:rsidRPr="00DD1562">
      <w:rPr>
        <w:sz w:val="24"/>
        <w:szCs w:val="24"/>
      </w:rPr>
      <w:tab/>
    </w:r>
  </w:p>
  <w:p w14:paraId="176759E0" w14:textId="24478EA1" w:rsidR="00FB410D" w:rsidRDefault="00DE5681" w:rsidP="00DD1562">
    <w:pPr>
      <w:pStyle w:val="Footer"/>
      <w:tabs>
        <w:tab w:val="clear" w:pos="4536"/>
        <w:tab w:val="left" w:pos="0"/>
        <w:tab w:val="center" w:pos="1710"/>
        <w:tab w:val="right" w:pos="9404"/>
      </w:tabs>
    </w:pPr>
    <w:r w:rsidRPr="00DD1562">
      <w:rPr>
        <w:sz w:val="24"/>
        <w:szCs w:val="24"/>
      </w:rPr>
      <w:fldChar w:fldCharType="begin"/>
    </w:r>
    <w:r w:rsidR="004F322A" w:rsidRPr="00DD1562">
      <w:rPr>
        <w:sz w:val="24"/>
        <w:szCs w:val="24"/>
      </w:rPr>
      <w:instrText xml:space="preserve"> PAGE </w:instrText>
    </w:r>
    <w:r w:rsidRPr="00DD1562">
      <w:rPr>
        <w:sz w:val="24"/>
        <w:szCs w:val="24"/>
      </w:rPr>
      <w:fldChar w:fldCharType="separate"/>
    </w:r>
    <w:r w:rsidR="000A706F" w:rsidRPr="00DD1562">
      <w:rPr>
        <w:noProof/>
        <w:sz w:val="24"/>
        <w:szCs w:val="24"/>
      </w:rPr>
      <w:t>4</w:t>
    </w:r>
    <w:r w:rsidRPr="00DD1562">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2302" w14:textId="77777777" w:rsidR="009E31DB" w:rsidRDefault="009E31DB" w:rsidP="009E31DB">
    <w:pPr>
      <w:pStyle w:val="Footer"/>
      <w:tabs>
        <w:tab w:val="clear" w:pos="4536"/>
        <w:tab w:val="left" w:pos="0"/>
        <w:tab w:val="center" w:pos="1710"/>
        <w:tab w:val="right" w:pos="9404"/>
      </w:tabs>
      <w:rPr>
        <w:sz w:val="24"/>
        <w:szCs w:val="24"/>
      </w:rPr>
    </w:pPr>
    <w:r w:rsidRPr="009E31DB">
      <w:rPr>
        <w:sz w:val="24"/>
        <w:szCs w:val="24"/>
      </w:rPr>
      <w:t>The document meets the accessibility rules</w:t>
    </w:r>
  </w:p>
  <w:p w14:paraId="4E11D686" w14:textId="4F3E8A55" w:rsidR="009E31DB" w:rsidRPr="00DD1562" w:rsidRDefault="009E31DB" w:rsidP="009E31DB">
    <w:pPr>
      <w:pStyle w:val="Footer"/>
      <w:tabs>
        <w:tab w:val="clear" w:pos="4536"/>
        <w:tab w:val="left" w:pos="0"/>
        <w:tab w:val="center" w:pos="1710"/>
        <w:tab w:val="right" w:pos="9404"/>
      </w:tabs>
      <w:rPr>
        <w:sz w:val="24"/>
        <w:szCs w:val="24"/>
      </w:rPr>
    </w:pPr>
  </w:p>
  <w:p w14:paraId="1B09C452" w14:textId="22DAC0AC" w:rsidR="009E31DB" w:rsidRDefault="009E31DB" w:rsidP="009E31DB">
    <w:pPr>
      <w:pStyle w:val="Footer"/>
      <w:tabs>
        <w:tab w:val="clear" w:pos="4536"/>
        <w:tab w:val="left" w:pos="0"/>
        <w:tab w:val="center" w:pos="1710"/>
        <w:tab w:val="right" w:pos="9404"/>
      </w:tabs>
    </w:pPr>
    <w:r w:rsidRPr="00DD1562">
      <w:rPr>
        <w:sz w:val="24"/>
        <w:szCs w:val="24"/>
      </w:rPr>
      <w:fldChar w:fldCharType="begin"/>
    </w:r>
    <w:r w:rsidRPr="00DD1562">
      <w:rPr>
        <w:sz w:val="24"/>
        <w:szCs w:val="24"/>
      </w:rPr>
      <w:instrText xml:space="preserve"> PAGE </w:instrText>
    </w:r>
    <w:r w:rsidRPr="00DD1562">
      <w:rPr>
        <w:sz w:val="24"/>
        <w:szCs w:val="24"/>
      </w:rPr>
      <w:fldChar w:fldCharType="separate"/>
    </w:r>
    <w:r>
      <w:rPr>
        <w:sz w:val="24"/>
        <w:szCs w:val="24"/>
      </w:rPr>
      <w:t>2</w:t>
    </w:r>
    <w:r w:rsidRPr="00DD1562">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FFE1" w14:textId="77777777" w:rsidR="000A5ABE" w:rsidRDefault="000A5ABE">
      <w:pPr>
        <w:spacing w:after="0" w:line="240" w:lineRule="auto"/>
      </w:pPr>
      <w:r>
        <w:rPr>
          <w:color w:val="000000"/>
        </w:rPr>
        <w:separator/>
      </w:r>
    </w:p>
  </w:footnote>
  <w:footnote w:type="continuationSeparator" w:id="0">
    <w:p w14:paraId="2758CDEB" w14:textId="77777777" w:rsidR="000A5ABE" w:rsidRDefault="000A5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0319" w14:textId="688A8C07" w:rsidR="00FB410D" w:rsidRPr="009E31DB" w:rsidRDefault="007A2AEC" w:rsidP="009E31DB">
    <w:pPr>
      <w:tabs>
        <w:tab w:val="left" w:pos="4839"/>
        <w:tab w:val="right" w:pos="9071"/>
      </w:tabs>
      <w:rPr>
        <w:noProof/>
        <w:lang w:val="pl-PL"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CAE6" w14:textId="1794ADDA" w:rsidR="009E31DB" w:rsidRDefault="009E31DB">
    <w:pPr>
      <w:pStyle w:val="Header"/>
    </w:pPr>
    <w:r>
      <w:rPr>
        <w:noProof/>
        <w:lang w:bidi="he-IL"/>
      </w:rPr>
      <w:drawing>
        <wp:anchor distT="0" distB="0" distL="114300" distR="114300" simplePos="0" relativeHeight="251662336" behindDoc="0" locked="0" layoutInCell="1" allowOverlap="1" wp14:anchorId="2287751B" wp14:editId="3DDE45AF">
          <wp:simplePos x="0" y="0"/>
          <wp:positionH relativeFrom="margin">
            <wp:posOffset>3625215</wp:posOffset>
          </wp:positionH>
          <wp:positionV relativeFrom="paragraph">
            <wp:posOffset>-167640</wp:posOffset>
          </wp:positionV>
          <wp:extent cx="2292985" cy="854075"/>
          <wp:effectExtent l="0" t="0" r="0" b="3175"/>
          <wp:wrapThrough wrapText="bothSides">
            <wp:wrapPolygon edited="0">
              <wp:start x="0" y="0"/>
              <wp:lineTo x="0" y="21199"/>
              <wp:lineTo x="21355" y="21199"/>
              <wp:lineTo x="21355" y="0"/>
              <wp:lineTo x="0" y="0"/>
            </wp:wrapPolygon>
          </wp:wrapThrough>
          <wp:docPr id="33" name="Picture 33" descr="Interreg South Baltic Logo and E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formation and promotion\000 Measures 2015\Design for the future programme\Logo and EU emblem - clear space_SCREEN.jpg"/>
                  <pic:cNvPicPr>
                    <a:picLocks noChangeAspect="1" noChangeArrowheads="1"/>
                  </pic:cNvPicPr>
                </pic:nvPicPr>
                <pic:blipFill>
                  <a:blip r:embed="rId1"/>
                  <a:srcRect/>
                  <a:stretch>
                    <a:fillRect/>
                  </a:stretch>
                </pic:blipFill>
                <pic:spPr bwMode="auto">
                  <a:xfrm>
                    <a:off x="0" y="0"/>
                    <a:ext cx="2292985"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1C1E"/>
    <w:multiLevelType w:val="multilevel"/>
    <w:tmpl w:val="B5C4B6C2"/>
    <w:styleLink w:val="WWNum7"/>
    <w:lvl w:ilvl="0">
      <w:numFmt w:val="bullet"/>
      <w:lvlText w:val="•"/>
      <w:lvlJc w:val="left"/>
      <w:pPr>
        <w:ind w:left="927" w:hanging="360"/>
      </w:pPr>
      <w:rPr>
        <w:rFonts w:cs="Calibri"/>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 w15:restartNumberingAfterBreak="0">
    <w:nsid w:val="0EAB76F0"/>
    <w:multiLevelType w:val="multilevel"/>
    <w:tmpl w:val="7274349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7D4FBB"/>
    <w:multiLevelType w:val="multilevel"/>
    <w:tmpl w:val="FF9C9022"/>
    <w:lvl w:ilvl="0">
      <w:start w:val="1"/>
      <w:numFmt w:val="lowerLetter"/>
      <w:lvlText w:val="%1)"/>
      <w:lvlJc w:val="left"/>
      <w:pPr>
        <w:ind w:left="785" w:hanging="360"/>
      </w:pPr>
      <w:rPr>
        <w:rFonts w:hint="default"/>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 w15:restartNumberingAfterBreak="0">
    <w:nsid w:val="166B324D"/>
    <w:multiLevelType w:val="multilevel"/>
    <w:tmpl w:val="F716B1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2271E8"/>
    <w:multiLevelType w:val="multilevel"/>
    <w:tmpl w:val="47C6F314"/>
    <w:styleLink w:val="WWNum14"/>
    <w:lvl w:ilvl="0">
      <w:start w:val="1"/>
      <w:numFmt w:val="decimal"/>
      <w:lvlText w:val="%1."/>
      <w:lvlJc w:val="left"/>
      <w:pPr>
        <w:ind w:left="785" w:hanging="360"/>
      </w:p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5" w15:restartNumberingAfterBreak="0">
    <w:nsid w:val="19D545FD"/>
    <w:multiLevelType w:val="hybridMultilevel"/>
    <w:tmpl w:val="8BA0E810"/>
    <w:lvl w:ilvl="0" w:tplc="9120F9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700310"/>
    <w:multiLevelType w:val="multilevel"/>
    <w:tmpl w:val="7C180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A701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0C041F"/>
    <w:multiLevelType w:val="multilevel"/>
    <w:tmpl w:val="B64284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E0E383F"/>
    <w:multiLevelType w:val="multilevel"/>
    <w:tmpl w:val="D36665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E682BC5"/>
    <w:multiLevelType w:val="hybridMultilevel"/>
    <w:tmpl w:val="BAC6EBF8"/>
    <w:lvl w:ilvl="0" w:tplc="F4D4E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D550E"/>
    <w:multiLevelType w:val="multilevel"/>
    <w:tmpl w:val="02944C7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1B3F72"/>
    <w:multiLevelType w:val="hybridMultilevel"/>
    <w:tmpl w:val="03A64C2A"/>
    <w:lvl w:ilvl="0" w:tplc="9B56C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36ACE"/>
    <w:multiLevelType w:val="multilevel"/>
    <w:tmpl w:val="58621E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D000984"/>
    <w:multiLevelType w:val="hybridMultilevel"/>
    <w:tmpl w:val="9152768E"/>
    <w:lvl w:ilvl="0" w:tplc="F4D4E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E2E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1B2CD4"/>
    <w:multiLevelType w:val="hybridMultilevel"/>
    <w:tmpl w:val="D848CF62"/>
    <w:lvl w:ilvl="0" w:tplc="6D8E3F56">
      <w:start w:val="1"/>
      <w:numFmt w:val="lowerLetter"/>
      <w:lvlText w:val="%1)"/>
      <w:lvlJc w:val="left"/>
      <w:pPr>
        <w:ind w:left="1080" w:hanging="360"/>
      </w:pPr>
      <w:rPr>
        <w:rFonts w:hint="default"/>
        <w:color w:val="808080" w:themeColor="background1" w:themeShade="8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5C2B4A"/>
    <w:multiLevelType w:val="multilevel"/>
    <w:tmpl w:val="D36665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4C23D36"/>
    <w:multiLevelType w:val="multilevel"/>
    <w:tmpl w:val="23921AA8"/>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89B6432"/>
    <w:multiLevelType w:val="multilevel"/>
    <w:tmpl w:val="3F867CE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C401119"/>
    <w:multiLevelType w:val="hybridMultilevel"/>
    <w:tmpl w:val="641CE7C8"/>
    <w:lvl w:ilvl="0" w:tplc="F4D4E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54224"/>
    <w:multiLevelType w:val="hybridMultilevel"/>
    <w:tmpl w:val="60CE4088"/>
    <w:lvl w:ilvl="0" w:tplc="F4D4E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67A6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CC5562B"/>
    <w:multiLevelType w:val="hybridMultilevel"/>
    <w:tmpl w:val="CCB0FF52"/>
    <w:lvl w:ilvl="0" w:tplc="65A27518">
      <w:start w:val="1"/>
      <w:numFmt w:val="lowerLetter"/>
      <w:lvlText w:val="%1)"/>
      <w:lvlJc w:val="left"/>
      <w:pPr>
        <w:ind w:left="1080" w:hanging="360"/>
      </w:pPr>
      <w:rPr>
        <w:rFonts w:hint="default"/>
        <w:color w:val="808080" w:themeColor="background1" w:themeShade="8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F3364"/>
    <w:multiLevelType w:val="multilevel"/>
    <w:tmpl w:val="97144F8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EDF0EA1"/>
    <w:multiLevelType w:val="multilevel"/>
    <w:tmpl w:val="C644931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73E3892"/>
    <w:multiLevelType w:val="hybridMultilevel"/>
    <w:tmpl w:val="E38ABBDC"/>
    <w:lvl w:ilvl="0" w:tplc="6C8CB094">
      <w:start w:val="1"/>
      <w:numFmt w:val="lowerLetter"/>
      <w:lvlText w:val="%1)"/>
      <w:lvlJc w:val="left"/>
      <w:pPr>
        <w:ind w:left="1080" w:hanging="360"/>
      </w:pPr>
      <w:rPr>
        <w:rFonts w:hint="default"/>
        <w:color w:val="808080" w:themeColor="background1" w:themeShade="8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8D1520"/>
    <w:multiLevelType w:val="multilevel"/>
    <w:tmpl w:val="58482CFE"/>
    <w:styleLink w:val="WWNum5"/>
    <w:lvl w:ilvl="0">
      <w:numFmt w:val="bullet"/>
      <w:lvlText w:val="•"/>
      <w:lvlJc w:val="left"/>
      <w:pPr>
        <w:ind w:left="927" w:hanging="360"/>
      </w:pPr>
      <w:rPr>
        <w:rFonts w:cs="Calibri"/>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5A5C3E6B"/>
    <w:multiLevelType w:val="multilevel"/>
    <w:tmpl w:val="A10E16D2"/>
    <w:styleLink w:val="WWNum3"/>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15:restartNumberingAfterBreak="0">
    <w:nsid w:val="5CCD5C92"/>
    <w:multiLevelType w:val="multilevel"/>
    <w:tmpl w:val="4E9897D0"/>
    <w:styleLink w:val="WWNum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0" w15:restartNumberingAfterBreak="0">
    <w:nsid w:val="5CDF2AC9"/>
    <w:multiLevelType w:val="multilevel"/>
    <w:tmpl w:val="38A203A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E715512"/>
    <w:multiLevelType w:val="multilevel"/>
    <w:tmpl w:val="BBC29A9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E762963"/>
    <w:multiLevelType w:val="multilevel"/>
    <w:tmpl w:val="0C0EDE66"/>
    <w:lvl w:ilvl="0">
      <w:start w:val="1"/>
      <w:numFmt w:val="lowerLetter"/>
      <w:lvlText w:val="%1)"/>
      <w:lvlJc w:val="left"/>
      <w:pPr>
        <w:ind w:left="785" w:hanging="360"/>
      </w:pPr>
      <w:rPr>
        <w:rFonts w:hint="default"/>
        <w:color w:val="808080" w:themeColor="background1" w:themeShade="80"/>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3" w15:restartNumberingAfterBreak="0">
    <w:nsid w:val="643D5495"/>
    <w:multiLevelType w:val="multilevel"/>
    <w:tmpl w:val="5C742E6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5B2686"/>
    <w:multiLevelType w:val="hybridMultilevel"/>
    <w:tmpl w:val="DCD440C8"/>
    <w:lvl w:ilvl="0" w:tplc="A800AD7A">
      <w:start w:val="1"/>
      <w:numFmt w:val="lowerLetter"/>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C0F6F"/>
    <w:multiLevelType w:val="multilevel"/>
    <w:tmpl w:val="B2A8445C"/>
    <w:styleLink w:val="WWNum15"/>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36" w15:restartNumberingAfterBreak="0">
    <w:nsid w:val="696F048E"/>
    <w:multiLevelType w:val="multilevel"/>
    <w:tmpl w:val="F3522CC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715935AD"/>
    <w:multiLevelType w:val="hybridMultilevel"/>
    <w:tmpl w:val="F3DA83DC"/>
    <w:lvl w:ilvl="0" w:tplc="F4D4E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97BD7"/>
    <w:multiLevelType w:val="hybridMultilevel"/>
    <w:tmpl w:val="7AC08FE6"/>
    <w:lvl w:ilvl="0" w:tplc="9120F9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D41EC7"/>
    <w:multiLevelType w:val="hybridMultilevel"/>
    <w:tmpl w:val="E9A0315C"/>
    <w:lvl w:ilvl="0" w:tplc="F4D4E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56393"/>
    <w:multiLevelType w:val="multilevel"/>
    <w:tmpl w:val="7274349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327CA9"/>
    <w:multiLevelType w:val="multilevel"/>
    <w:tmpl w:val="B5702F5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FE7132D"/>
    <w:multiLevelType w:val="multilevel"/>
    <w:tmpl w:val="58621E2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3"/>
  </w:num>
  <w:num w:numId="2">
    <w:abstractNumId w:val="31"/>
  </w:num>
  <w:num w:numId="3">
    <w:abstractNumId w:val="28"/>
  </w:num>
  <w:num w:numId="4">
    <w:abstractNumId w:val="29"/>
  </w:num>
  <w:num w:numId="5">
    <w:abstractNumId w:val="27"/>
  </w:num>
  <w:num w:numId="6">
    <w:abstractNumId w:val="18"/>
  </w:num>
  <w:num w:numId="7">
    <w:abstractNumId w:val="0"/>
  </w:num>
  <w:num w:numId="8">
    <w:abstractNumId w:val="30"/>
  </w:num>
  <w:num w:numId="9">
    <w:abstractNumId w:val="19"/>
  </w:num>
  <w:num w:numId="10">
    <w:abstractNumId w:val="36"/>
  </w:num>
  <w:num w:numId="11">
    <w:abstractNumId w:val="41"/>
    <w:lvlOverride w:ilvl="0">
      <w:lvl w:ilvl="0">
        <w:start w:val="1"/>
        <w:numFmt w:val="decimal"/>
        <w:lvlText w:val="%1."/>
        <w:lvlJc w:val="left"/>
        <w:pPr>
          <w:ind w:left="720" w:hanging="360"/>
        </w:pPr>
        <w:rPr>
          <w:b w:val="0"/>
          <w:bCs w:val="0"/>
        </w:rPr>
      </w:lvl>
    </w:lvlOverride>
  </w:num>
  <w:num w:numId="12">
    <w:abstractNumId w:val="24"/>
  </w:num>
  <w:num w:numId="13">
    <w:abstractNumId w:val="25"/>
  </w:num>
  <w:num w:numId="14">
    <w:abstractNumId w:val="4"/>
  </w:num>
  <w:num w:numId="15">
    <w:abstractNumId w:val="35"/>
  </w:num>
  <w:num w:numId="16">
    <w:abstractNumId w:val="35"/>
  </w:num>
  <w:num w:numId="17">
    <w:abstractNumId w:val="25"/>
    <w:lvlOverride w:ilvl="0">
      <w:startOverride w:val="1"/>
    </w:lvlOverride>
  </w:num>
  <w:num w:numId="18">
    <w:abstractNumId w:val="41"/>
    <w:lvlOverride w:ilvl="0">
      <w:startOverride w:val="1"/>
    </w:lvlOverride>
  </w:num>
  <w:num w:numId="19">
    <w:abstractNumId w:val="15"/>
  </w:num>
  <w:num w:numId="20">
    <w:abstractNumId w:val="41"/>
  </w:num>
  <w:num w:numId="21">
    <w:abstractNumId w:val="42"/>
  </w:num>
  <w:num w:numId="22">
    <w:abstractNumId w:val="13"/>
  </w:num>
  <w:num w:numId="23">
    <w:abstractNumId w:val="3"/>
  </w:num>
  <w:num w:numId="24">
    <w:abstractNumId w:val="17"/>
  </w:num>
  <w:num w:numId="25">
    <w:abstractNumId w:val="9"/>
  </w:num>
  <w:num w:numId="26">
    <w:abstractNumId w:val="8"/>
  </w:num>
  <w:num w:numId="27">
    <w:abstractNumId w:val="32"/>
  </w:num>
  <w:num w:numId="28">
    <w:abstractNumId w:val="2"/>
  </w:num>
  <w:num w:numId="29">
    <w:abstractNumId w:val="5"/>
  </w:num>
  <w:num w:numId="30">
    <w:abstractNumId w:val="34"/>
  </w:num>
  <w:num w:numId="31">
    <w:abstractNumId w:val="38"/>
  </w:num>
  <w:num w:numId="32">
    <w:abstractNumId w:val="14"/>
  </w:num>
  <w:num w:numId="33">
    <w:abstractNumId w:val="16"/>
  </w:num>
  <w:num w:numId="34">
    <w:abstractNumId w:val="12"/>
  </w:num>
  <w:num w:numId="35">
    <w:abstractNumId w:val="11"/>
  </w:num>
  <w:num w:numId="36">
    <w:abstractNumId w:val="23"/>
  </w:num>
  <w:num w:numId="37">
    <w:abstractNumId w:val="26"/>
  </w:num>
  <w:num w:numId="38">
    <w:abstractNumId w:val="7"/>
  </w:num>
  <w:num w:numId="39">
    <w:abstractNumId w:val="1"/>
  </w:num>
  <w:num w:numId="40">
    <w:abstractNumId w:val="40"/>
  </w:num>
  <w:num w:numId="41">
    <w:abstractNumId w:val="22"/>
  </w:num>
  <w:num w:numId="42">
    <w:abstractNumId w:val="6"/>
  </w:num>
  <w:num w:numId="43">
    <w:abstractNumId w:val="37"/>
  </w:num>
  <w:num w:numId="44">
    <w:abstractNumId w:val="20"/>
  </w:num>
  <w:num w:numId="45">
    <w:abstractNumId w:val="39"/>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DF"/>
    <w:rsid w:val="00010EE8"/>
    <w:rsid w:val="00035336"/>
    <w:rsid w:val="00047E41"/>
    <w:rsid w:val="00061BF9"/>
    <w:rsid w:val="0007503B"/>
    <w:rsid w:val="000827A4"/>
    <w:rsid w:val="000A5ABE"/>
    <w:rsid w:val="000A706F"/>
    <w:rsid w:val="000E4EFE"/>
    <w:rsid w:val="000F4FDF"/>
    <w:rsid w:val="00101378"/>
    <w:rsid w:val="001827F7"/>
    <w:rsid w:val="00190593"/>
    <w:rsid w:val="001A360B"/>
    <w:rsid w:val="001A55C9"/>
    <w:rsid w:val="001A7FA0"/>
    <w:rsid w:val="001B0716"/>
    <w:rsid w:val="001B22C8"/>
    <w:rsid w:val="001F7E6C"/>
    <w:rsid w:val="00206670"/>
    <w:rsid w:val="002802F8"/>
    <w:rsid w:val="002C0F29"/>
    <w:rsid w:val="00311C50"/>
    <w:rsid w:val="00312877"/>
    <w:rsid w:val="00365C9B"/>
    <w:rsid w:val="003665C4"/>
    <w:rsid w:val="003D3CA4"/>
    <w:rsid w:val="003E7665"/>
    <w:rsid w:val="003F2F22"/>
    <w:rsid w:val="003F605B"/>
    <w:rsid w:val="00407FC7"/>
    <w:rsid w:val="00440E37"/>
    <w:rsid w:val="004500F2"/>
    <w:rsid w:val="00461AC0"/>
    <w:rsid w:val="004658E3"/>
    <w:rsid w:val="004B2756"/>
    <w:rsid w:val="004B2DDD"/>
    <w:rsid w:val="004E5CD6"/>
    <w:rsid w:val="004F1B2D"/>
    <w:rsid w:val="004F322A"/>
    <w:rsid w:val="00507014"/>
    <w:rsid w:val="00510D48"/>
    <w:rsid w:val="00517C25"/>
    <w:rsid w:val="00542A6A"/>
    <w:rsid w:val="005456F7"/>
    <w:rsid w:val="00560F9B"/>
    <w:rsid w:val="005649D6"/>
    <w:rsid w:val="005930D2"/>
    <w:rsid w:val="00594AA6"/>
    <w:rsid w:val="005A5DBC"/>
    <w:rsid w:val="005B3A2F"/>
    <w:rsid w:val="005C0675"/>
    <w:rsid w:val="005C42FB"/>
    <w:rsid w:val="005D195A"/>
    <w:rsid w:val="005E47DF"/>
    <w:rsid w:val="005F5C75"/>
    <w:rsid w:val="006134A9"/>
    <w:rsid w:val="00621702"/>
    <w:rsid w:val="00636E1B"/>
    <w:rsid w:val="00637A38"/>
    <w:rsid w:val="00650BA9"/>
    <w:rsid w:val="006C673B"/>
    <w:rsid w:val="006D3710"/>
    <w:rsid w:val="007207B3"/>
    <w:rsid w:val="00732271"/>
    <w:rsid w:val="00750A88"/>
    <w:rsid w:val="00760BB2"/>
    <w:rsid w:val="00762EDC"/>
    <w:rsid w:val="00787190"/>
    <w:rsid w:val="007A0D54"/>
    <w:rsid w:val="007A2AEC"/>
    <w:rsid w:val="007D2208"/>
    <w:rsid w:val="008137BC"/>
    <w:rsid w:val="00832FAA"/>
    <w:rsid w:val="00845C68"/>
    <w:rsid w:val="00854591"/>
    <w:rsid w:val="00854B64"/>
    <w:rsid w:val="008746FD"/>
    <w:rsid w:val="00875FF6"/>
    <w:rsid w:val="008816FD"/>
    <w:rsid w:val="008A1CDB"/>
    <w:rsid w:val="008C136B"/>
    <w:rsid w:val="008C3F4B"/>
    <w:rsid w:val="008C5AB8"/>
    <w:rsid w:val="008F2744"/>
    <w:rsid w:val="00904DAF"/>
    <w:rsid w:val="0091551C"/>
    <w:rsid w:val="0095350B"/>
    <w:rsid w:val="009B4E42"/>
    <w:rsid w:val="009C4F07"/>
    <w:rsid w:val="009C61D5"/>
    <w:rsid w:val="009C685A"/>
    <w:rsid w:val="009C75AC"/>
    <w:rsid w:val="009E31DB"/>
    <w:rsid w:val="009F643B"/>
    <w:rsid w:val="00A11D65"/>
    <w:rsid w:val="00A66F56"/>
    <w:rsid w:val="00A80DA7"/>
    <w:rsid w:val="00AC6E52"/>
    <w:rsid w:val="00AD6739"/>
    <w:rsid w:val="00AE2A05"/>
    <w:rsid w:val="00AE6506"/>
    <w:rsid w:val="00AF7267"/>
    <w:rsid w:val="00B0326D"/>
    <w:rsid w:val="00B040E0"/>
    <w:rsid w:val="00B52AE7"/>
    <w:rsid w:val="00B5545A"/>
    <w:rsid w:val="00B55B67"/>
    <w:rsid w:val="00B607D3"/>
    <w:rsid w:val="00B74127"/>
    <w:rsid w:val="00B91BB6"/>
    <w:rsid w:val="00B9788B"/>
    <w:rsid w:val="00BC10B4"/>
    <w:rsid w:val="00BC50FD"/>
    <w:rsid w:val="00BC7517"/>
    <w:rsid w:val="00BF09EB"/>
    <w:rsid w:val="00BF6903"/>
    <w:rsid w:val="00BF7925"/>
    <w:rsid w:val="00C02622"/>
    <w:rsid w:val="00C066B8"/>
    <w:rsid w:val="00C249F0"/>
    <w:rsid w:val="00C44ECD"/>
    <w:rsid w:val="00C45877"/>
    <w:rsid w:val="00C500AF"/>
    <w:rsid w:val="00C55148"/>
    <w:rsid w:val="00C5753A"/>
    <w:rsid w:val="00C82AEA"/>
    <w:rsid w:val="00C94B75"/>
    <w:rsid w:val="00CA1267"/>
    <w:rsid w:val="00CA7392"/>
    <w:rsid w:val="00CC6EDC"/>
    <w:rsid w:val="00CD6F94"/>
    <w:rsid w:val="00CE5535"/>
    <w:rsid w:val="00CF0C40"/>
    <w:rsid w:val="00D17DB5"/>
    <w:rsid w:val="00D46353"/>
    <w:rsid w:val="00D51B90"/>
    <w:rsid w:val="00D92BD8"/>
    <w:rsid w:val="00DD1562"/>
    <w:rsid w:val="00DE419F"/>
    <w:rsid w:val="00DE5681"/>
    <w:rsid w:val="00DF27B5"/>
    <w:rsid w:val="00E140DE"/>
    <w:rsid w:val="00E15E75"/>
    <w:rsid w:val="00E2575E"/>
    <w:rsid w:val="00E32BA5"/>
    <w:rsid w:val="00E43CCB"/>
    <w:rsid w:val="00E72D26"/>
    <w:rsid w:val="00E74104"/>
    <w:rsid w:val="00E7596D"/>
    <w:rsid w:val="00E84486"/>
    <w:rsid w:val="00EB4B0A"/>
    <w:rsid w:val="00F76E9D"/>
    <w:rsid w:val="00F86074"/>
    <w:rsid w:val="00FB1086"/>
    <w:rsid w:val="00FB1E34"/>
    <w:rsid w:val="00FE4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E3389"/>
  <w15:docId w15:val="{1C4A3E5F-E8ED-4CF0-B3F7-DE7F3A4B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US"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B5"/>
    <w:pPr>
      <w:spacing w:after="240" w:line="360" w:lineRule="auto"/>
    </w:pPr>
    <w:rPr>
      <w:sz w:val="24"/>
    </w:rPr>
  </w:style>
  <w:style w:type="paragraph" w:styleId="Heading1">
    <w:name w:val="heading 1"/>
    <w:basedOn w:val="Normal"/>
    <w:next w:val="Normal"/>
    <w:link w:val="Heading1Char"/>
    <w:uiPriority w:val="9"/>
    <w:qFormat/>
    <w:rsid w:val="00DF27B5"/>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636E1B"/>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658E3"/>
    <w:pPr>
      <w:widowControl/>
    </w:pPr>
  </w:style>
  <w:style w:type="paragraph" w:customStyle="1" w:styleId="Heading">
    <w:name w:val="Heading"/>
    <w:basedOn w:val="Standard"/>
    <w:next w:val="Textbody"/>
    <w:rsid w:val="004658E3"/>
    <w:pPr>
      <w:keepNext/>
      <w:spacing w:before="240" w:after="120"/>
    </w:pPr>
    <w:rPr>
      <w:rFonts w:ascii="Arial" w:eastAsia="Microsoft YaHei" w:hAnsi="Arial" w:cs="Lucida Sans"/>
      <w:sz w:val="28"/>
      <w:szCs w:val="28"/>
    </w:rPr>
  </w:style>
  <w:style w:type="paragraph" w:customStyle="1" w:styleId="Textbody">
    <w:name w:val="Text body"/>
    <w:basedOn w:val="Standard"/>
    <w:rsid w:val="004658E3"/>
    <w:pPr>
      <w:spacing w:after="120"/>
    </w:pPr>
  </w:style>
  <w:style w:type="paragraph" w:styleId="List">
    <w:name w:val="List"/>
    <w:basedOn w:val="Textbody"/>
    <w:rsid w:val="004658E3"/>
    <w:rPr>
      <w:rFonts w:cs="Lucida Sans"/>
    </w:rPr>
  </w:style>
  <w:style w:type="paragraph" w:styleId="Caption">
    <w:name w:val="caption"/>
    <w:basedOn w:val="Standard"/>
    <w:rsid w:val="004658E3"/>
    <w:pPr>
      <w:suppressLineNumbers/>
      <w:spacing w:before="120" w:after="120"/>
    </w:pPr>
    <w:rPr>
      <w:rFonts w:cs="Lucida Sans"/>
      <w:i/>
      <w:iCs/>
      <w:sz w:val="24"/>
      <w:szCs w:val="24"/>
    </w:rPr>
  </w:style>
  <w:style w:type="paragraph" w:customStyle="1" w:styleId="Index">
    <w:name w:val="Index"/>
    <w:basedOn w:val="Standard"/>
    <w:rsid w:val="004658E3"/>
    <w:pPr>
      <w:suppressLineNumbers/>
    </w:pPr>
    <w:rPr>
      <w:rFonts w:cs="Lucida Sans"/>
    </w:rPr>
  </w:style>
  <w:style w:type="paragraph" w:styleId="CommentText">
    <w:name w:val="annotation text"/>
    <w:basedOn w:val="Standard"/>
    <w:link w:val="CommentTextChar"/>
    <w:rsid w:val="004658E3"/>
    <w:pPr>
      <w:spacing w:line="240" w:lineRule="auto"/>
    </w:pPr>
    <w:rPr>
      <w:sz w:val="20"/>
      <w:szCs w:val="20"/>
    </w:rPr>
  </w:style>
  <w:style w:type="paragraph" w:styleId="CommentSubject">
    <w:name w:val="annotation subject"/>
    <w:basedOn w:val="CommentText"/>
    <w:rsid w:val="004658E3"/>
    <w:rPr>
      <w:b/>
      <w:bCs/>
    </w:rPr>
  </w:style>
  <w:style w:type="paragraph" w:styleId="BalloonText">
    <w:name w:val="Balloon Text"/>
    <w:basedOn w:val="Standard"/>
    <w:rsid w:val="004658E3"/>
    <w:pPr>
      <w:spacing w:after="0" w:line="240" w:lineRule="auto"/>
    </w:pPr>
    <w:rPr>
      <w:rFonts w:ascii="Segoe UI" w:hAnsi="Segoe UI" w:cs="Segoe UI"/>
      <w:sz w:val="18"/>
      <w:szCs w:val="18"/>
    </w:rPr>
  </w:style>
  <w:style w:type="paragraph" w:styleId="Header">
    <w:name w:val="header"/>
    <w:basedOn w:val="Standard"/>
    <w:rsid w:val="004658E3"/>
    <w:pPr>
      <w:suppressLineNumbers/>
      <w:tabs>
        <w:tab w:val="center" w:pos="4536"/>
        <w:tab w:val="right" w:pos="9072"/>
      </w:tabs>
      <w:spacing w:after="0" w:line="240" w:lineRule="auto"/>
    </w:pPr>
  </w:style>
  <w:style w:type="paragraph" w:styleId="Footer">
    <w:name w:val="footer"/>
    <w:basedOn w:val="Standard"/>
    <w:rsid w:val="004658E3"/>
    <w:pPr>
      <w:suppressLineNumbers/>
      <w:tabs>
        <w:tab w:val="center" w:pos="4536"/>
        <w:tab w:val="right" w:pos="9072"/>
      </w:tabs>
      <w:spacing w:after="0" w:line="240" w:lineRule="auto"/>
    </w:pPr>
  </w:style>
  <w:style w:type="paragraph" w:customStyle="1" w:styleId="Default">
    <w:name w:val="Default"/>
    <w:rsid w:val="004658E3"/>
    <w:pPr>
      <w:widowControl/>
      <w:spacing w:after="0" w:line="240" w:lineRule="auto"/>
    </w:pPr>
    <w:rPr>
      <w:rFonts w:ascii="Verdana" w:hAnsi="Verdana" w:cs="Verdana"/>
      <w:color w:val="000000"/>
      <w:sz w:val="24"/>
      <w:szCs w:val="24"/>
      <w:lang w:val="hu-HU"/>
    </w:rPr>
  </w:style>
  <w:style w:type="paragraph" w:styleId="ListParagraph">
    <w:name w:val="List Paragraph"/>
    <w:basedOn w:val="Standard"/>
    <w:link w:val="ListParagraphChar"/>
    <w:uiPriority w:val="34"/>
    <w:qFormat/>
    <w:rsid w:val="004658E3"/>
    <w:pPr>
      <w:ind w:left="720"/>
    </w:pPr>
  </w:style>
  <w:style w:type="paragraph" w:customStyle="1" w:styleId="PreformattedText">
    <w:name w:val="Preformatted Text"/>
    <w:basedOn w:val="Standard"/>
    <w:rsid w:val="004658E3"/>
    <w:pPr>
      <w:spacing w:after="0"/>
    </w:pPr>
    <w:rPr>
      <w:rFonts w:ascii="Courier New" w:eastAsia="Courier New" w:hAnsi="Courier New" w:cs="Courier New"/>
      <w:sz w:val="20"/>
      <w:szCs w:val="20"/>
    </w:rPr>
  </w:style>
  <w:style w:type="character" w:styleId="CommentReference">
    <w:name w:val="annotation reference"/>
    <w:basedOn w:val="DefaultParagraphFont"/>
    <w:rsid w:val="004658E3"/>
    <w:rPr>
      <w:sz w:val="16"/>
      <w:szCs w:val="16"/>
    </w:rPr>
  </w:style>
  <w:style w:type="character" w:customStyle="1" w:styleId="TekstkomentarzaZnak">
    <w:name w:val="Tekst komentarza Znak"/>
    <w:basedOn w:val="DefaultParagraphFont"/>
    <w:rsid w:val="004658E3"/>
    <w:rPr>
      <w:sz w:val="20"/>
      <w:szCs w:val="20"/>
    </w:rPr>
  </w:style>
  <w:style w:type="character" w:customStyle="1" w:styleId="TematkomentarzaZnak">
    <w:name w:val="Temat komentarza Znak"/>
    <w:basedOn w:val="TekstkomentarzaZnak"/>
    <w:rsid w:val="004658E3"/>
    <w:rPr>
      <w:b/>
      <w:bCs/>
      <w:sz w:val="20"/>
      <w:szCs w:val="20"/>
    </w:rPr>
  </w:style>
  <w:style w:type="character" w:customStyle="1" w:styleId="TekstdymkaZnak">
    <w:name w:val="Tekst dymka Znak"/>
    <w:basedOn w:val="DefaultParagraphFont"/>
    <w:rsid w:val="004658E3"/>
    <w:rPr>
      <w:rFonts w:ascii="Segoe UI" w:hAnsi="Segoe UI" w:cs="Segoe UI"/>
      <w:sz w:val="18"/>
      <w:szCs w:val="18"/>
    </w:rPr>
  </w:style>
  <w:style w:type="character" w:customStyle="1" w:styleId="NagwekZnak">
    <w:name w:val="Nagłówek Znak"/>
    <w:basedOn w:val="DefaultParagraphFont"/>
    <w:rsid w:val="004658E3"/>
  </w:style>
  <w:style w:type="character" w:customStyle="1" w:styleId="StopkaZnak">
    <w:name w:val="Stopka Znak"/>
    <w:basedOn w:val="DefaultParagraphFont"/>
    <w:rsid w:val="004658E3"/>
  </w:style>
  <w:style w:type="character" w:customStyle="1" w:styleId="Internetlink">
    <w:name w:val="Internet link"/>
    <w:basedOn w:val="DefaultParagraphFont"/>
    <w:rsid w:val="004658E3"/>
    <w:rPr>
      <w:color w:val="0563C1"/>
      <w:u w:val="single"/>
    </w:rPr>
  </w:style>
  <w:style w:type="character" w:customStyle="1" w:styleId="ListLabel1">
    <w:name w:val="ListLabel 1"/>
    <w:rsid w:val="004658E3"/>
    <w:rPr>
      <w:rFonts w:cs="Courier New"/>
    </w:rPr>
  </w:style>
  <w:style w:type="character" w:customStyle="1" w:styleId="ListLabel2">
    <w:name w:val="ListLabel 2"/>
    <w:rsid w:val="004658E3"/>
    <w:rPr>
      <w:rFonts w:cs="Calibri"/>
    </w:rPr>
  </w:style>
  <w:style w:type="numbering" w:customStyle="1" w:styleId="WWNum1">
    <w:name w:val="WWNum1"/>
    <w:basedOn w:val="NoList"/>
    <w:rsid w:val="004658E3"/>
    <w:pPr>
      <w:numPr>
        <w:numId w:val="1"/>
      </w:numPr>
    </w:pPr>
  </w:style>
  <w:style w:type="numbering" w:customStyle="1" w:styleId="WWNum2">
    <w:name w:val="WWNum2"/>
    <w:basedOn w:val="NoList"/>
    <w:rsid w:val="004658E3"/>
    <w:pPr>
      <w:numPr>
        <w:numId w:val="2"/>
      </w:numPr>
    </w:pPr>
  </w:style>
  <w:style w:type="numbering" w:customStyle="1" w:styleId="WWNum3">
    <w:name w:val="WWNum3"/>
    <w:basedOn w:val="NoList"/>
    <w:rsid w:val="004658E3"/>
    <w:pPr>
      <w:numPr>
        <w:numId w:val="3"/>
      </w:numPr>
    </w:pPr>
  </w:style>
  <w:style w:type="numbering" w:customStyle="1" w:styleId="WWNum4">
    <w:name w:val="WWNum4"/>
    <w:basedOn w:val="NoList"/>
    <w:rsid w:val="004658E3"/>
    <w:pPr>
      <w:numPr>
        <w:numId w:val="4"/>
      </w:numPr>
    </w:pPr>
  </w:style>
  <w:style w:type="numbering" w:customStyle="1" w:styleId="WWNum5">
    <w:name w:val="WWNum5"/>
    <w:basedOn w:val="NoList"/>
    <w:rsid w:val="004658E3"/>
    <w:pPr>
      <w:numPr>
        <w:numId w:val="5"/>
      </w:numPr>
    </w:pPr>
  </w:style>
  <w:style w:type="numbering" w:customStyle="1" w:styleId="WWNum6">
    <w:name w:val="WWNum6"/>
    <w:basedOn w:val="NoList"/>
    <w:rsid w:val="004658E3"/>
    <w:pPr>
      <w:numPr>
        <w:numId w:val="6"/>
      </w:numPr>
    </w:pPr>
  </w:style>
  <w:style w:type="numbering" w:customStyle="1" w:styleId="WWNum7">
    <w:name w:val="WWNum7"/>
    <w:basedOn w:val="NoList"/>
    <w:rsid w:val="004658E3"/>
    <w:pPr>
      <w:numPr>
        <w:numId w:val="7"/>
      </w:numPr>
    </w:pPr>
  </w:style>
  <w:style w:type="numbering" w:customStyle="1" w:styleId="WWNum8">
    <w:name w:val="WWNum8"/>
    <w:basedOn w:val="NoList"/>
    <w:rsid w:val="004658E3"/>
    <w:pPr>
      <w:numPr>
        <w:numId w:val="8"/>
      </w:numPr>
    </w:pPr>
  </w:style>
  <w:style w:type="numbering" w:customStyle="1" w:styleId="WWNum9">
    <w:name w:val="WWNum9"/>
    <w:basedOn w:val="NoList"/>
    <w:rsid w:val="004658E3"/>
    <w:pPr>
      <w:numPr>
        <w:numId w:val="9"/>
      </w:numPr>
    </w:pPr>
  </w:style>
  <w:style w:type="numbering" w:customStyle="1" w:styleId="WWNum10">
    <w:name w:val="WWNum10"/>
    <w:basedOn w:val="NoList"/>
    <w:rsid w:val="004658E3"/>
    <w:pPr>
      <w:numPr>
        <w:numId w:val="10"/>
      </w:numPr>
    </w:pPr>
  </w:style>
  <w:style w:type="numbering" w:customStyle="1" w:styleId="WWNum11">
    <w:name w:val="WWNum11"/>
    <w:basedOn w:val="NoList"/>
    <w:rsid w:val="004658E3"/>
    <w:pPr>
      <w:numPr>
        <w:numId w:val="20"/>
      </w:numPr>
    </w:pPr>
  </w:style>
  <w:style w:type="numbering" w:customStyle="1" w:styleId="WWNum12">
    <w:name w:val="WWNum12"/>
    <w:basedOn w:val="NoList"/>
    <w:rsid w:val="004658E3"/>
    <w:pPr>
      <w:numPr>
        <w:numId w:val="12"/>
      </w:numPr>
    </w:pPr>
  </w:style>
  <w:style w:type="numbering" w:customStyle="1" w:styleId="WWNum13">
    <w:name w:val="WWNum13"/>
    <w:basedOn w:val="NoList"/>
    <w:rsid w:val="004658E3"/>
    <w:pPr>
      <w:numPr>
        <w:numId w:val="13"/>
      </w:numPr>
    </w:pPr>
  </w:style>
  <w:style w:type="numbering" w:customStyle="1" w:styleId="WWNum14">
    <w:name w:val="WWNum14"/>
    <w:basedOn w:val="NoList"/>
    <w:rsid w:val="004658E3"/>
    <w:pPr>
      <w:numPr>
        <w:numId w:val="14"/>
      </w:numPr>
    </w:pPr>
  </w:style>
  <w:style w:type="numbering" w:customStyle="1" w:styleId="WWNum15">
    <w:name w:val="WWNum15"/>
    <w:basedOn w:val="NoList"/>
    <w:rsid w:val="004658E3"/>
    <w:pPr>
      <w:numPr>
        <w:numId w:val="15"/>
      </w:numPr>
    </w:pPr>
  </w:style>
  <w:style w:type="paragraph" w:customStyle="1" w:styleId="SBHEADING2">
    <w:name w:val="SB HEADING 2"/>
    <w:autoRedefine/>
    <w:qFormat/>
    <w:rsid w:val="008746FD"/>
    <w:pPr>
      <w:widowControl/>
      <w:suppressAutoHyphens w:val="0"/>
      <w:autoSpaceDN/>
      <w:spacing w:before="240" w:after="240" w:line="240" w:lineRule="auto"/>
      <w:jc w:val="both"/>
      <w:textAlignment w:val="auto"/>
    </w:pPr>
    <w:rPr>
      <w:rFonts w:ascii="Segoe UI" w:eastAsia="Times New Roman" w:hAnsi="Segoe UI" w:cs="Segoe UI"/>
      <w:b/>
      <w:bCs/>
      <w:color w:val="003399"/>
      <w:kern w:val="0"/>
      <w:lang w:val="en-GB" w:eastAsia="ar-SA"/>
    </w:rPr>
  </w:style>
  <w:style w:type="character" w:customStyle="1" w:styleId="SBEMPHASISWORD">
    <w:name w:val="SB EMPHASIS WORD"/>
    <w:uiPriority w:val="1"/>
    <w:qFormat/>
    <w:rsid w:val="001A360B"/>
    <w:rPr>
      <w:rFonts w:ascii="Segoe UI" w:hAnsi="Segoe UI"/>
      <w:b/>
      <w:color w:val="003399"/>
      <w:sz w:val="19"/>
    </w:rPr>
  </w:style>
  <w:style w:type="paragraph" w:customStyle="1" w:styleId="SBText">
    <w:name w:val="SB Text"/>
    <w:next w:val="Heading1"/>
    <w:autoRedefine/>
    <w:qFormat/>
    <w:rsid w:val="00A66F56"/>
    <w:pPr>
      <w:widowControl/>
      <w:suppressAutoHyphens w:val="0"/>
      <w:autoSpaceDN/>
      <w:spacing w:before="120" w:after="120" w:line="240" w:lineRule="auto"/>
      <w:jc w:val="both"/>
      <w:textAlignment w:val="auto"/>
    </w:pPr>
    <w:rPr>
      <w:rFonts w:ascii="Segoe UI" w:eastAsia="Times New Roman" w:hAnsi="Segoe UI" w:cs="Segoe UI"/>
      <w:color w:val="595959"/>
      <w:kern w:val="0"/>
      <w:sz w:val="19"/>
      <w:szCs w:val="19"/>
      <w:lang w:val="en-GB" w:eastAsia="pl-PL"/>
    </w:rPr>
  </w:style>
  <w:style w:type="character" w:customStyle="1" w:styleId="Heading1Char">
    <w:name w:val="Heading 1 Char"/>
    <w:basedOn w:val="DefaultParagraphFont"/>
    <w:link w:val="Heading1"/>
    <w:uiPriority w:val="9"/>
    <w:rsid w:val="00DF27B5"/>
    <w:rPr>
      <w:rFonts w:eastAsiaTheme="majorEastAsia" w:cstheme="majorBidi"/>
      <w:sz w:val="32"/>
      <w:szCs w:val="32"/>
    </w:rPr>
  </w:style>
  <w:style w:type="paragraph" w:styleId="Revision">
    <w:name w:val="Revision"/>
    <w:hidden/>
    <w:uiPriority w:val="99"/>
    <w:semiHidden/>
    <w:rsid w:val="00854B64"/>
    <w:pPr>
      <w:widowControl/>
      <w:suppressAutoHyphens w:val="0"/>
      <w:autoSpaceDN/>
      <w:spacing w:after="0" w:line="240" w:lineRule="auto"/>
      <w:textAlignment w:val="auto"/>
    </w:pPr>
  </w:style>
  <w:style w:type="character" w:styleId="Hyperlink">
    <w:name w:val="Hyperlink"/>
    <w:basedOn w:val="DefaultParagraphFont"/>
    <w:uiPriority w:val="99"/>
    <w:unhideWhenUsed/>
    <w:rsid w:val="00206670"/>
    <w:rPr>
      <w:color w:val="0563C1" w:themeColor="hyperlink"/>
      <w:u w:val="single"/>
    </w:rPr>
  </w:style>
  <w:style w:type="character" w:customStyle="1" w:styleId="CommentTextChar">
    <w:name w:val="Comment Text Char"/>
    <w:basedOn w:val="DefaultParagraphFont"/>
    <w:link w:val="CommentText"/>
    <w:rsid w:val="00B607D3"/>
    <w:rPr>
      <w:sz w:val="20"/>
      <w:szCs w:val="20"/>
    </w:rPr>
  </w:style>
  <w:style w:type="character" w:customStyle="1" w:styleId="ListParagraphChar">
    <w:name w:val="List Paragraph Char"/>
    <w:link w:val="ListParagraph"/>
    <w:uiPriority w:val="34"/>
    <w:locked/>
    <w:rsid w:val="00845C68"/>
  </w:style>
  <w:style w:type="paragraph" w:customStyle="1" w:styleId="normal-p">
    <w:name w:val="normal-p"/>
    <w:basedOn w:val="Normal"/>
    <w:rsid w:val="005649D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Cs w:val="24"/>
      <w:lang w:val="lt-LT" w:eastAsia="lt-LT"/>
    </w:rPr>
  </w:style>
  <w:style w:type="character" w:customStyle="1" w:styleId="normal-h">
    <w:name w:val="normal-h"/>
    <w:basedOn w:val="DefaultParagraphFont"/>
    <w:rsid w:val="005649D6"/>
  </w:style>
  <w:style w:type="character" w:customStyle="1" w:styleId="Heading2Char">
    <w:name w:val="Heading 2 Char"/>
    <w:basedOn w:val="DefaultParagraphFont"/>
    <w:link w:val="Heading2"/>
    <w:uiPriority w:val="9"/>
    <w:rsid w:val="00636E1B"/>
    <w:rPr>
      <w:rFonts w:eastAsiaTheme="majorEastAsia"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9913">
      <w:bodyDiv w:val="1"/>
      <w:marLeft w:val="0"/>
      <w:marRight w:val="0"/>
      <w:marTop w:val="0"/>
      <w:marBottom w:val="0"/>
      <w:divBdr>
        <w:top w:val="none" w:sz="0" w:space="0" w:color="auto"/>
        <w:left w:val="none" w:sz="0" w:space="0" w:color="auto"/>
        <w:bottom w:val="none" w:sz="0" w:space="0" w:color="auto"/>
        <w:right w:val="none" w:sz="0" w:space="0" w:color="auto"/>
      </w:divBdr>
    </w:div>
    <w:div w:id="183055370">
      <w:bodyDiv w:val="1"/>
      <w:marLeft w:val="0"/>
      <w:marRight w:val="0"/>
      <w:marTop w:val="0"/>
      <w:marBottom w:val="0"/>
      <w:divBdr>
        <w:top w:val="none" w:sz="0" w:space="0" w:color="auto"/>
        <w:left w:val="none" w:sz="0" w:space="0" w:color="auto"/>
        <w:bottom w:val="none" w:sz="0" w:space="0" w:color="auto"/>
        <w:right w:val="none" w:sz="0" w:space="0" w:color="auto"/>
      </w:divBdr>
    </w:div>
    <w:div w:id="1263144547">
      <w:bodyDiv w:val="1"/>
      <w:marLeft w:val="0"/>
      <w:marRight w:val="0"/>
      <w:marTop w:val="0"/>
      <w:marBottom w:val="0"/>
      <w:divBdr>
        <w:top w:val="none" w:sz="0" w:space="0" w:color="auto"/>
        <w:left w:val="none" w:sz="0" w:space="0" w:color="auto"/>
        <w:bottom w:val="none" w:sz="0" w:space="0" w:color="auto"/>
        <w:right w:val="none" w:sz="0" w:space="0" w:color="auto"/>
      </w:divBdr>
    </w:div>
    <w:div w:id="209820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AF2D7-1BE2-4371-B87A-708F6A53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1465</Words>
  <Characters>8354</Characters>
  <Application>Microsoft Office Word</Application>
  <DocSecurity>0</DocSecurity>
  <Lines>69</Lines>
  <Paragraphs>19</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MRR</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Tunic</dc:creator>
  <cp:lastModifiedBy>Marta Niciejewska</cp:lastModifiedBy>
  <cp:revision>5</cp:revision>
  <dcterms:created xsi:type="dcterms:W3CDTF">2020-04-06T09:32:00Z</dcterms:created>
  <dcterms:modified xsi:type="dcterms:W3CDTF">2020-04-06T10:08:00Z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